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143F7" w14:textId="2664B636" w:rsidR="00B93DC0" w:rsidRDefault="00E55F85" w:rsidP="00BE1525">
      <w:pPr>
        <w:spacing w:after="0"/>
        <w:ind w:left="-850" w:right="-850"/>
        <w:rPr>
          <w:rStyle w:val="Heading1Char"/>
        </w:rPr>
      </w:pPr>
      <w:r>
        <w:rPr>
          <w:noProof/>
        </w:rPr>
        <w:drawing>
          <wp:anchor distT="0" distB="0" distL="114300" distR="114300" simplePos="0" relativeHeight="251658240" behindDoc="0" locked="0" layoutInCell="1" allowOverlap="1" wp14:anchorId="77BDA35A" wp14:editId="28B3E562">
            <wp:simplePos x="0" y="0"/>
            <wp:positionH relativeFrom="column">
              <wp:posOffset>1695450</wp:posOffset>
            </wp:positionH>
            <wp:positionV relativeFrom="page">
              <wp:posOffset>567055</wp:posOffset>
            </wp:positionV>
            <wp:extent cx="2019300" cy="64897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19300" cy="648970"/>
                    </a:xfrm>
                    <a:prstGeom prst="rect">
                      <a:avLst/>
                    </a:prstGeom>
                    <a:noFill/>
                    <a:ln>
                      <a:noFill/>
                    </a:ln>
                  </pic:spPr>
                </pic:pic>
              </a:graphicData>
            </a:graphic>
          </wp:anchor>
        </w:drawing>
      </w:r>
      <w:r w:rsidRPr="005402CC">
        <w:rPr>
          <w:rFonts w:ascii="Calibri" w:eastAsia="Calibri" w:hAnsi="Calibri"/>
          <w:noProof/>
        </w:rPr>
        <w:drawing>
          <wp:anchor distT="0" distB="0" distL="114300" distR="114300" simplePos="0" relativeHeight="251660288" behindDoc="1" locked="0" layoutInCell="1" allowOverlap="1" wp14:anchorId="0A264B63" wp14:editId="5B3678E4">
            <wp:simplePos x="0" y="0"/>
            <wp:positionH relativeFrom="column">
              <wp:posOffset>4514850</wp:posOffset>
            </wp:positionH>
            <wp:positionV relativeFrom="page">
              <wp:posOffset>515620</wp:posOffset>
            </wp:positionV>
            <wp:extent cx="2025650" cy="781050"/>
            <wp:effectExtent l="0" t="0" r="0" b="0"/>
            <wp:wrapThrough wrapText="bothSides">
              <wp:wrapPolygon edited="0">
                <wp:start x="0" y="0"/>
                <wp:lineTo x="0" y="21073"/>
                <wp:lineTo x="21329" y="21073"/>
                <wp:lineTo x="21329"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25650" cy="781050"/>
                    </a:xfrm>
                    <a:prstGeom prst="rect">
                      <a:avLst/>
                    </a:prstGeom>
                    <a:noFill/>
                    <a:ln>
                      <a:noFill/>
                    </a:ln>
                  </pic:spPr>
                </pic:pic>
              </a:graphicData>
            </a:graphic>
          </wp:anchor>
        </w:drawing>
      </w:r>
    </w:p>
    <w:p w14:paraId="32791EAF" w14:textId="49BA9EEA" w:rsidR="00117CCA" w:rsidRDefault="00B93DC0" w:rsidP="00C03B4F">
      <w:pPr>
        <w:spacing w:after="0"/>
        <w:ind w:left="-850" w:right="-850"/>
        <w:rPr>
          <w:rFonts w:asciiTheme="majorHAnsi" w:eastAsiaTheme="majorEastAsia" w:hAnsiTheme="majorHAnsi" w:cstheme="majorBidi"/>
          <w:color w:val="2F5496" w:themeColor="accent1" w:themeShade="BF"/>
          <w:sz w:val="32"/>
          <w:szCs w:val="32"/>
        </w:rPr>
      </w:pPr>
      <w:r w:rsidRPr="45F563C9">
        <w:rPr>
          <w:rFonts w:asciiTheme="majorHAnsi" w:eastAsiaTheme="majorEastAsia" w:hAnsiTheme="majorHAnsi" w:cstheme="majorBidi"/>
          <w:color w:val="2F5496" w:themeColor="accent1" w:themeShade="BF"/>
          <w:sz w:val="32"/>
          <w:szCs w:val="32"/>
        </w:rPr>
        <w:t xml:space="preserve">          </w:t>
      </w:r>
      <w:r>
        <w:tab/>
      </w:r>
      <w:r>
        <w:tab/>
      </w:r>
      <w:bookmarkStart w:id="0" w:name="_Hlk57123760"/>
    </w:p>
    <w:p w14:paraId="00A4AE77" w14:textId="04659FF6" w:rsidR="00F25E74" w:rsidRPr="00F25E74" w:rsidRDefault="00F25E74" w:rsidP="0098446D">
      <w:pPr>
        <w:spacing w:after="0"/>
        <w:ind w:left="-454" w:right="-850" w:firstLine="850"/>
        <w:rPr>
          <w:rFonts w:asciiTheme="majorHAnsi" w:eastAsiaTheme="majorEastAsia" w:hAnsiTheme="majorHAnsi" w:cstheme="majorBidi"/>
          <w:color w:val="2F5496" w:themeColor="accent1" w:themeShade="BF"/>
          <w:sz w:val="32"/>
          <w:szCs w:val="32"/>
        </w:rPr>
      </w:pPr>
      <w:r>
        <w:rPr>
          <w:rFonts w:asciiTheme="majorHAnsi" w:eastAsiaTheme="majorEastAsia" w:hAnsiTheme="majorHAnsi" w:cstheme="majorBidi"/>
          <w:color w:val="2F5496" w:themeColor="accent1" w:themeShade="BF"/>
          <w:sz w:val="32"/>
          <w:szCs w:val="32"/>
        </w:rPr>
        <w:t>Strategic Consultancy</w:t>
      </w:r>
      <w:r w:rsidR="00B93DC0" w:rsidRPr="00B93DC0">
        <w:rPr>
          <w:rFonts w:asciiTheme="majorHAnsi" w:eastAsiaTheme="majorEastAsia" w:hAnsiTheme="majorHAnsi" w:cstheme="majorBidi"/>
          <w:color w:val="2F5496" w:themeColor="accent1" w:themeShade="BF"/>
          <w:sz w:val="32"/>
          <w:szCs w:val="32"/>
        </w:rPr>
        <w:t xml:space="preserve"> Assignment Guidelines</w:t>
      </w:r>
      <w:r>
        <w:rPr>
          <w:rFonts w:asciiTheme="majorHAnsi" w:eastAsiaTheme="majorEastAsia" w:hAnsiTheme="majorHAnsi" w:cstheme="majorBidi"/>
          <w:color w:val="2F5496" w:themeColor="accent1" w:themeShade="BF"/>
          <w:sz w:val="32"/>
          <w:szCs w:val="32"/>
        </w:rPr>
        <w:t xml:space="preserve"> - </w:t>
      </w:r>
      <w:r w:rsidRPr="00F25E74">
        <w:rPr>
          <w:rFonts w:asciiTheme="majorHAnsi" w:eastAsiaTheme="majorEastAsia" w:hAnsiTheme="majorHAnsi" w:cstheme="majorBidi"/>
          <w:color w:val="2F5496" w:themeColor="accent1" w:themeShade="BF"/>
          <w:sz w:val="32"/>
          <w:szCs w:val="32"/>
        </w:rPr>
        <w:t>To Develop a Carbon Reduction Roadmap</w:t>
      </w:r>
      <w:r w:rsidR="00F0638D">
        <w:rPr>
          <w:rFonts w:asciiTheme="majorHAnsi" w:eastAsiaTheme="majorEastAsia" w:hAnsiTheme="majorHAnsi" w:cstheme="majorBidi"/>
          <w:color w:val="2F5496" w:themeColor="accent1" w:themeShade="BF"/>
          <w:sz w:val="32"/>
          <w:szCs w:val="32"/>
        </w:rPr>
        <w:t xml:space="preserve"> (only)</w:t>
      </w:r>
    </w:p>
    <w:bookmarkEnd w:id="0"/>
    <w:p w14:paraId="0702CBB9" w14:textId="77777777" w:rsidR="00B93DC0" w:rsidRPr="00B93DC0" w:rsidRDefault="00B93DC0" w:rsidP="00B93DC0">
      <w:pPr>
        <w:spacing w:after="0"/>
        <w:ind w:left="-850" w:right="-850"/>
        <w:rPr>
          <w:rFonts w:asciiTheme="majorHAnsi" w:eastAsiaTheme="majorEastAsia" w:hAnsiTheme="majorHAnsi" w:cstheme="majorBidi"/>
          <w:color w:val="2F5496" w:themeColor="accent1" w:themeShade="BF"/>
          <w:sz w:val="32"/>
          <w:szCs w:val="32"/>
        </w:rPr>
      </w:pPr>
    </w:p>
    <w:p w14:paraId="114E3C8B" w14:textId="77777777" w:rsidR="00B93DC0" w:rsidRPr="00B93DC0" w:rsidRDefault="00B93DC0" w:rsidP="00B93DC0">
      <w:pPr>
        <w:shd w:val="clear" w:color="auto" w:fill="2F5496" w:themeFill="accent1" w:themeFillShade="BF"/>
        <w:spacing w:line="360" w:lineRule="auto"/>
        <w:jc w:val="center"/>
        <w:rPr>
          <w:b/>
          <w:color w:val="FFFFFF" w:themeColor="background1"/>
          <w:sz w:val="28"/>
          <w:szCs w:val="28"/>
        </w:rPr>
      </w:pPr>
      <w:r w:rsidRPr="00B93DC0">
        <w:rPr>
          <w:b/>
          <w:color w:val="FFFFFF" w:themeColor="background1"/>
          <w:sz w:val="28"/>
          <w:szCs w:val="28"/>
        </w:rPr>
        <w:t>Index</w:t>
      </w:r>
    </w:p>
    <w:tbl>
      <w:tblPr>
        <w:tblStyle w:val="PlainTable1"/>
        <w:tblW w:w="0" w:type="auto"/>
        <w:tblInd w:w="-5" w:type="dxa"/>
        <w:tblLayout w:type="fixed"/>
        <w:tblLook w:val="01E0" w:firstRow="1" w:lastRow="1" w:firstColumn="1" w:lastColumn="1" w:noHBand="0" w:noVBand="0"/>
      </w:tblPr>
      <w:tblGrid>
        <w:gridCol w:w="6804"/>
        <w:gridCol w:w="6096"/>
      </w:tblGrid>
      <w:tr w:rsidR="00B93DC0" w:rsidRPr="00B93DC0" w14:paraId="5A244BA4" w14:textId="77777777" w:rsidTr="0012387F">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6804" w:type="dxa"/>
          </w:tcPr>
          <w:p w14:paraId="01756D27" w14:textId="77777777" w:rsidR="00B93DC0" w:rsidRPr="00B93DC0" w:rsidRDefault="00B93DC0" w:rsidP="00B93DC0">
            <w:pPr>
              <w:rPr>
                <w:rFonts w:cstheme="minorHAnsi"/>
                <w:color w:val="000000" w:themeColor="text1"/>
              </w:rPr>
            </w:pPr>
            <w:r w:rsidRPr="00B93DC0">
              <w:rPr>
                <w:rFonts w:asciiTheme="majorHAnsi" w:eastAsiaTheme="majorEastAsia" w:hAnsiTheme="majorHAnsi" w:cstheme="majorBidi"/>
                <w:color w:val="000000" w:themeColor="text1"/>
                <w:sz w:val="24"/>
                <w:szCs w:val="24"/>
                <w:lang w:eastAsia="en-IE"/>
              </w:rPr>
              <w:t>1 Application Process</w:t>
            </w:r>
          </w:p>
        </w:tc>
        <w:tc>
          <w:tcPr>
            <w:cnfStyle w:val="000100000000" w:firstRow="0" w:lastRow="0" w:firstColumn="0" w:lastColumn="1" w:oddVBand="0" w:evenVBand="0" w:oddHBand="0" w:evenHBand="0" w:firstRowFirstColumn="0" w:firstRowLastColumn="0" w:lastRowFirstColumn="0" w:lastRowLastColumn="0"/>
            <w:tcW w:w="6096" w:type="dxa"/>
          </w:tcPr>
          <w:p w14:paraId="10E91DAE" w14:textId="77777777" w:rsidR="00B93DC0" w:rsidRPr="00B93DC0" w:rsidRDefault="00B93DC0" w:rsidP="00B93DC0">
            <w:pPr>
              <w:jc w:val="center"/>
              <w:rPr>
                <w:rFonts w:cstheme="minorHAnsi"/>
              </w:rPr>
            </w:pPr>
            <w:r w:rsidRPr="00B93DC0">
              <w:rPr>
                <w:rFonts w:cstheme="minorHAnsi"/>
              </w:rPr>
              <w:t>2</w:t>
            </w:r>
          </w:p>
        </w:tc>
      </w:tr>
      <w:tr w:rsidR="00B93DC0" w:rsidRPr="00B93DC0" w14:paraId="52526D5E" w14:textId="77777777" w:rsidTr="0012387F">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6804" w:type="dxa"/>
          </w:tcPr>
          <w:p w14:paraId="3D76B718" w14:textId="77777777" w:rsidR="00B93DC0" w:rsidRPr="00B93DC0" w:rsidRDefault="00B93DC0" w:rsidP="00B93DC0">
            <w:pPr>
              <w:rPr>
                <w:rFonts w:cstheme="minorHAnsi"/>
                <w:color w:val="000000" w:themeColor="text1"/>
              </w:rPr>
            </w:pPr>
            <w:r w:rsidRPr="00B93DC0">
              <w:rPr>
                <w:rFonts w:cstheme="minorHAnsi"/>
                <w:color w:val="000000" w:themeColor="text1"/>
              </w:rPr>
              <w:t xml:space="preserve">2 Assignment Costs / Duration  </w:t>
            </w:r>
          </w:p>
        </w:tc>
        <w:tc>
          <w:tcPr>
            <w:cnfStyle w:val="000100000000" w:firstRow="0" w:lastRow="0" w:firstColumn="0" w:lastColumn="1" w:oddVBand="0" w:evenVBand="0" w:oddHBand="0" w:evenHBand="0" w:firstRowFirstColumn="0" w:firstRowLastColumn="0" w:lastRowFirstColumn="0" w:lastRowLastColumn="0"/>
            <w:tcW w:w="6096" w:type="dxa"/>
          </w:tcPr>
          <w:p w14:paraId="0E5AF414" w14:textId="77777777" w:rsidR="00B93DC0" w:rsidRPr="00B93DC0" w:rsidRDefault="00B93DC0" w:rsidP="00B93DC0">
            <w:pPr>
              <w:jc w:val="center"/>
              <w:rPr>
                <w:rFonts w:cstheme="minorHAnsi"/>
              </w:rPr>
            </w:pPr>
            <w:r w:rsidRPr="00B93DC0">
              <w:rPr>
                <w:rFonts w:cstheme="minorHAnsi"/>
              </w:rPr>
              <w:t>2</w:t>
            </w:r>
          </w:p>
        </w:tc>
      </w:tr>
      <w:tr w:rsidR="00B93DC0" w:rsidRPr="00B93DC0" w14:paraId="102DFA8D" w14:textId="77777777" w:rsidTr="0012387F">
        <w:trPr>
          <w:trHeight w:val="397"/>
        </w:trPr>
        <w:tc>
          <w:tcPr>
            <w:cnfStyle w:val="001000000000" w:firstRow="0" w:lastRow="0" w:firstColumn="1" w:lastColumn="0" w:oddVBand="0" w:evenVBand="0" w:oddHBand="0" w:evenHBand="0" w:firstRowFirstColumn="0" w:firstRowLastColumn="0" w:lastRowFirstColumn="0" w:lastRowLastColumn="0"/>
            <w:tcW w:w="6804" w:type="dxa"/>
          </w:tcPr>
          <w:p w14:paraId="3F3AA1A4" w14:textId="0418F242" w:rsidR="00B93DC0" w:rsidRPr="00B93DC0" w:rsidRDefault="00B93DC0" w:rsidP="00B93DC0">
            <w:pPr>
              <w:keepNext/>
              <w:keepLines/>
              <w:spacing w:before="40"/>
              <w:outlineLvl w:val="2"/>
              <w:rPr>
                <w:rFonts w:asciiTheme="majorHAnsi" w:eastAsiaTheme="majorEastAsia" w:hAnsiTheme="majorHAnsi" w:cstheme="majorBidi"/>
                <w:color w:val="000000" w:themeColor="text1"/>
                <w:sz w:val="24"/>
                <w:szCs w:val="24"/>
                <w:lang w:eastAsia="en-IE"/>
              </w:rPr>
            </w:pPr>
            <w:r w:rsidRPr="00B93DC0">
              <w:rPr>
                <w:rFonts w:asciiTheme="majorHAnsi" w:eastAsiaTheme="majorEastAsia" w:hAnsiTheme="majorHAnsi" w:cstheme="majorBidi"/>
                <w:color w:val="000000" w:themeColor="text1"/>
                <w:sz w:val="24"/>
                <w:szCs w:val="24"/>
                <w:lang w:eastAsia="en-IE"/>
              </w:rPr>
              <w:t xml:space="preserve">3 </w:t>
            </w:r>
            <w:r w:rsidR="00F25E74">
              <w:rPr>
                <w:rFonts w:asciiTheme="majorHAnsi" w:eastAsiaTheme="majorEastAsia" w:hAnsiTheme="majorHAnsi" w:cstheme="majorBidi"/>
                <w:color w:val="000000" w:themeColor="text1"/>
                <w:sz w:val="24"/>
                <w:szCs w:val="24"/>
                <w:lang w:eastAsia="en-IE"/>
              </w:rPr>
              <w:t>Strategic Consultancy</w:t>
            </w:r>
            <w:r w:rsidR="00670D39">
              <w:rPr>
                <w:rFonts w:asciiTheme="majorHAnsi" w:eastAsiaTheme="majorEastAsia" w:hAnsiTheme="majorHAnsi" w:cstheme="majorBidi"/>
                <w:color w:val="000000" w:themeColor="text1"/>
                <w:sz w:val="24"/>
                <w:szCs w:val="24"/>
                <w:lang w:eastAsia="en-IE"/>
              </w:rPr>
              <w:t xml:space="preserve"> Interim &amp; </w:t>
            </w:r>
            <w:r w:rsidR="0012387F">
              <w:rPr>
                <w:rFonts w:asciiTheme="majorHAnsi" w:eastAsiaTheme="majorEastAsia" w:hAnsiTheme="majorHAnsi" w:cstheme="majorBidi"/>
                <w:color w:val="000000" w:themeColor="text1"/>
                <w:sz w:val="24"/>
                <w:szCs w:val="24"/>
                <w:lang w:eastAsia="en-IE"/>
              </w:rPr>
              <w:t xml:space="preserve">Final </w:t>
            </w:r>
            <w:r w:rsidR="00670D39">
              <w:rPr>
                <w:rFonts w:asciiTheme="majorHAnsi" w:eastAsiaTheme="majorEastAsia" w:hAnsiTheme="majorHAnsi" w:cstheme="majorBidi"/>
                <w:color w:val="000000" w:themeColor="text1"/>
                <w:sz w:val="24"/>
                <w:szCs w:val="24"/>
                <w:lang w:eastAsia="en-IE"/>
              </w:rPr>
              <w:t>Progress</w:t>
            </w:r>
            <w:r w:rsidRPr="00B93DC0">
              <w:rPr>
                <w:rFonts w:asciiTheme="majorHAnsi" w:eastAsiaTheme="majorEastAsia" w:hAnsiTheme="majorHAnsi" w:cstheme="majorBidi"/>
                <w:color w:val="000000" w:themeColor="text1"/>
                <w:sz w:val="24"/>
                <w:szCs w:val="24"/>
                <w:lang w:eastAsia="en-IE"/>
              </w:rPr>
              <w:t xml:space="preserve"> Report &amp; Claim</w:t>
            </w:r>
          </w:p>
        </w:tc>
        <w:tc>
          <w:tcPr>
            <w:cnfStyle w:val="000100000000" w:firstRow="0" w:lastRow="0" w:firstColumn="0" w:lastColumn="1" w:oddVBand="0" w:evenVBand="0" w:oddHBand="0" w:evenHBand="0" w:firstRowFirstColumn="0" w:firstRowLastColumn="0" w:lastRowFirstColumn="0" w:lastRowLastColumn="0"/>
            <w:tcW w:w="6096" w:type="dxa"/>
          </w:tcPr>
          <w:p w14:paraId="4757D909" w14:textId="5DD3276A" w:rsidR="00B93DC0" w:rsidRPr="00B93DC0" w:rsidRDefault="0032464C" w:rsidP="00B93DC0">
            <w:pPr>
              <w:jc w:val="center"/>
              <w:rPr>
                <w:rFonts w:cstheme="minorHAnsi"/>
              </w:rPr>
            </w:pPr>
            <w:r>
              <w:rPr>
                <w:rFonts w:cstheme="minorHAnsi"/>
              </w:rPr>
              <w:t>3</w:t>
            </w:r>
          </w:p>
        </w:tc>
      </w:tr>
      <w:tr w:rsidR="00B93DC0" w:rsidRPr="00B93DC0" w14:paraId="47888F72" w14:textId="77777777" w:rsidTr="0012387F">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6804" w:type="dxa"/>
          </w:tcPr>
          <w:p w14:paraId="4EF1A340" w14:textId="77777777" w:rsidR="00B93DC0" w:rsidRPr="00B93DC0" w:rsidRDefault="00B93DC0" w:rsidP="00B93DC0">
            <w:pPr>
              <w:rPr>
                <w:rFonts w:cstheme="minorHAnsi"/>
                <w:color w:val="000000" w:themeColor="text1"/>
              </w:rPr>
            </w:pPr>
            <w:r w:rsidRPr="00B93DC0">
              <w:rPr>
                <w:rFonts w:cstheme="minorHAnsi"/>
                <w:color w:val="000000" w:themeColor="text1"/>
              </w:rPr>
              <w:t>4 Eligible Activities</w:t>
            </w:r>
          </w:p>
        </w:tc>
        <w:tc>
          <w:tcPr>
            <w:cnfStyle w:val="000100000000" w:firstRow="0" w:lastRow="0" w:firstColumn="0" w:lastColumn="1" w:oddVBand="0" w:evenVBand="0" w:oddHBand="0" w:evenHBand="0" w:firstRowFirstColumn="0" w:firstRowLastColumn="0" w:lastRowFirstColumn="0" w:lastRowLastColumn="0"/>
            <w:tcW w:w="6096" w:type="dxa"/>
          </w:tcPr>
          <w:p w14:paraId="2710B8A6" w14:textId="77777777" w:rsidR="00B93DC0" w:rsidRPr="00B93DC0" w:rsidRDefault="00B93DC0" w:rsidP="00B93DC0">
            <w:pPr>
              <w:jc w:val="center"/>
              <w:rPr>
                <w:rFonts w:cstheme="minorHAnsi"/>
              </w:rPr>
            </w:pPr>
            <w:r w:rsidRPr="00B93DC0">
              <w:rPr>
                <w:rFonts w:cstheme="minorHAnsi"/>
              </w:rPr>
              <w:t>3</w:t>
            </w:r>
          </w:p>
        </w:tc>
      </w:tr>
      <w:tr w:rsidR="00857502" w:rsidRPr="00B93DC0" w14:paraId="063CDAEF" w14:textId="77777777" w:rsidTr="0012387F">
        <w:trPr>
          <w:trHeight w:val="397"/>
        </w:trPr>
        <w:tc>
          <w:tcPr>
            <w:cnfStyle w:val="001000000000" w:firstRow="0" w:lastRow="0" w:firstColumn="1" w:lastColumn="0" w:oddVBand="0" w:evenVBand="0" w:oddHBand="0" w:evenHBand="0" w:firstRowFirstColumn="0" w:firstRowLastColumn="0" w:lastRowFirstColumn="0" w:lastRowLastColumn="0"/>
            <w:tcW w:w="6804" w:type="dxa"/>
          </w:tcPr>
          <w:p w14:paraId="592D9CB6" w14:textId="3D1BF81B" w:rsidR="00857502" w:rsidRPr="00B93DC0" w:rsidRDefault="00857502" w:rsidP="00B93DC0">
            <w:pPr>
              <w:rPr>
                <w:rFonts w:cstheme="minorHAnsi"/>
                <w:color w:val="000000" w:themeColor="text1"/>
              </w:rPr>
            </w:pPr>
            <w:r>
              <w:rPr>
                <w:rFonts w:cstheme="minorHAnsi"/>
                <w:color w:val="000000" w:themeColor="text1"/>
              </w:rPr>
              <w:t xml:space="preserve">5 </w:t>
            </w:r>
            <w:r w:rsidR="00F25E74" w:rsidRPr="00F25E74">
              <w:rPr>
                <w:rFonts w:cstheme="minorHAnsi"/>
                <w:color w:val="000000" w:themeColor="text1"/>
              </w:rPr>
              <w:t>Eligible Companies</w:t>
            </w:r>
          </w:p>
        </w:tc>
        <w:tc>
          <w:tcPr>
            <w:cnfStyle w:val="000100000000" w:firstRow="0" w:lastRow="0" w:firstColumn="0" w:lastColumn="1" w:oddVBand="0" w:evenVBand="0" w:oddHBand="0" w:evenHBand="0" w:firstRowFirstColumn="0" w:firstRowLastColumn="0" w:lastRowFirstColumn="0" w:lastRowLastColumn="0"/>
            <w:tcW w:w="6096" w:type="dxa"/>
          </w:tcPr>
          <w:p w14:paraId="45E1E5E2" w14:textId="60F5EE58" w:rsidR="00857502" w:rsidRPr="00B93DC0" w:rsidRDefault="00D06C6C" w:rsidP="00B93DC0">
            <w:pPr>
              <w:jc w:val="center"/>
              <w:rPr>
                <w:rFonts w:cstheme="minorHAnsi"/>
              </w:rPr>
            </w:pPr>
            <w:r>
              <w:rPr>
                <w:rFonts w:cstheme="minorHAnsi"/>
              </w:rPr>
              <w:t>4</w:t>
            </w:r>
          </w:p>
        </w:tc>
      </w:tr>
      <w:tr w:rsidR="00F25E74" w:rsidRPr="00B93DC0" w14:paraId="32447424" w14:textId="77777777" w:rsidTr="0012387F">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6804" w:type="dxa"/>
          </w:tcPr>
          <w:p w14:paraId="33D404A3" w14:textId="413054FC" w:rsidR="00F25E74" w:rsidRDefault="00F25E74" w:rsidP="00B93DC0">
            <w:pPr>
              <w:rPr>
                <w:rFonts w:cstheme="minorHAnsi"/>
                <w:color w:val="000000" w:themeColor="text1"/>
              </w:rPr>
            </w:pPr>
            <w:r>
              <w:rPr>
                <w:rFonts w:cstheme="minorHAnsi"/>
                <w:color w:val="000000" w:themeColor="text1"/>
              </w:rPr>
              <w:t>6 Ineligible Activities</w:t>
            </w:r>
          </w:p>
        </w:tc>
        <w:tc>
          <w:tcPr>
            <w:cnfStyle w:val="000100000000" w:firstRow="0" w:lastRow="0" w:firstColumn="0" w:lastColumn="1" w:oddVBand="0" w:evenVBand="0" w:oddHBand="0" w:evenHBand="0" w:firstRowFirstColumn="0" w:firstRowLastColumn="0" w:lastRowFirstColumn="0" w:lastRowLastColumn="0"/>
            <w:tcW w:w="6096" w:type="dxa"/>
          </w:tcPr>
          <w:p w14:paraId="67C2ABC4" w14:textId="61F31E48" w:rsidR="00F25E74" w:rsidRDefault="00F25E74" w:rsidP="00B93DC0">
            <w:pPr>
              <w:jc w:val="center"/>
              <w:rPr>
                <w:rFonts w:cstheme="minorHAnsi"/>
              </w:rPr>
            </w:pPr>
            <w:r>
              <w:rPr>
                <w:rFonts w:cstheme="minorHAnsi"/>
              </w:rPr>
              <w:t>4</w:t>
            </w:r>
          </w:p>
        </w:tc>
      </w:tr>
      <w:tr w:rsidR="00F25E74" w:rsidRPr="00B93DC0" w14:paraId="67A2EF92" w14:textId="77777777" w:rsidTr="0012387F">
        <w:trPr>
          <w:cnfStyle w:val="010000000000" w:firstRow="0" w:lastRow="1"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6804" w:type="dxa"/>
          </w:tcPr>
          <w:p w14:paraId="57B80A69" w14:textId="5390166A" w:rsidR="00F25E74" w:rsidRDefault="00F25E74" w:rsidP="00B93DC0">
            <w:pPr>
              <w:rPr>
                <w:rFonts w:cstheme="minorHAnsi"/>
                <w:color w:val="000000" w:themeColor="text1"/>
              </w:rPr>
            </w:pPr>
            <w:r>
              <w:rPr>
                <w:rFonts w:cstheme="minorHAnsi"/>
                <w:color w:val="000000" w:themeColor="text1"/>
              </w:rPr>
              <w:t xml:space="preserve">7 </w:t>
            </w:r>
            <w:r w:rsidR="00945DDC" w:rsidRPr="00945DDC">
              <w:rPr>
                <w:rFonts w:cstheme="minorHAnsi"/>
                <w:color w:val="000000" w:themeColor="text1"/>
              </w:rPr>
              <w:t>Environmental Legislation &amp; Do No Significant Harm Compliance</w:t>
            </w:r>
          </w:p>
        </w:tc>
        <w:tc>
          <w:tcPr>
            <w:cnfStyle w:val="000100000000" w:firstRow="0" w:lastRow="0" w:firstColumn="0" w:lastColumn="1" w:oddVBand="0" w:evenVBand="0" w:oddHBand="0" w:evenHBand="0" w:firstRowFirstColumn="0" w:firstRowLastColumn="0" w:lastRowFirstColumn="0" w:lastRowLastColumn="0"/>
            <w:tcW w:w="6096" w:type="dxa"/>
          </w:tcPr>
          <w:p w14:paraId="4A74385C" w14:textId="081C4307" w:rsidR="00F25E74" w:rsidRDefault="00E07A09" w:rsidP="00B93DC0">
            <w:pPr>
              <w:jc w:val="center"/>
              <w:rPr>
                <w:rFonts w:cstheme="minorHAnsi"/>
              </w:rPr>
            </w:pPr>
            <w:r>
              <w:rPr>
                <w:rFonts w:cstheme="minorHAnsi"/>
              </w:rPr>
              <w:t>5</w:t>
            </w:r>
          </w:p>
        </w:tc>
      </w:tr>
    </w:tbl>
    <w:p w14:paraId="26246D46" w14:textId="38284C9F" w:rsidR="00B93DC0" w:rsidRDefault="00B93DC0" w:rsidP="00BE1525">
      <w:pPr>
        <w:spacing w:after="0"/>
        <w:ind w:left="-850" w:right="-850"/>
        <w:rPr>
          <w:rStyle w:val="Heading1Char"/>
        </w:rPr>
      </w:pPr>
    </w:p>
    <w:p w14:paraId="401B4AEB" w14:textId="6BF55DA4" w:rsidR="00B93DC0" w:rsidRDefault="00B93DC0" w:rsidP="0012387F">
      <w:pPr>
        <w:spacing w:after="0"/>
        <w:ind w:right="-850"/>
        <w:rPr>
          <w:rStyle w:val="Heading1Char"/>
        </w:rPr>
      </w:pPr>
    </w:p>
    <w:p w14:paraId="5441CC15" w14:textId="77777777" w:rsidR="00E55F85" w:rsidRDefault="00E55F85" w:rsidP="0012387F">
      <w:pPr>
        <w:spacing w:after="0"/>
        <w:ind w:right="-850"/>
        <w:rPr>
          <w:rStyle w:val="Heading1Char"/>
        </w:rPr>
      </w:pPr>
    </w:p>
    <w:p w14:paraId="2A0CF890" w14:textId="77777777" w:rsidR="00E55F85" w:rsidRDefault="00E55F85" w:rsidP="0012387F">
      <w:pPr>
        <w:spacing w:after="0"/>
        <w:ind w:right="-850"/>
        <w:rPr>
          <w:rStyle w:val="Heading1Char"/>
        </w:rPr>
      </w:pPr>
    </w:p>
    <w:p w14:paraId="2F8056C0" w14:textId="77777777" w:rsidR="00E55F85" w:rsidRDefault="00E55F85" w:rsidP="0012387F">
      <w:pPr>
        <w:spacing w:after="0"/>
        <w:ind w:right="-850"/>
        <w:rPr>
          <w:rStyle w:val="Heading1Char"/>
        </w:rPr>
      </w:pPr>
    </w:p>
    <w:p w14:paraId="5A2C71E6" w14:textId="77777777" w:rsidR="00E55F85" w:rsidRDefault="00E55F85" w:rsidP="0012387F">
      <w:pPr>
        <w:spacing w:after="0"/>
        <w:ind w:right="-850"/>
        <w:rPr>
          <w:rStyle w:val="Heading1Char"/>
        </w:rPr>
      </w:pPr>
    </w:p>
    <w:p w14:paraId="6FEE5478" w14:textId="77777777" w:rsidR="00E55F85" w:rsidRDefault="00E55F85" w:rsidP="0012387F">
      <w:pPr>
        <w:spacing w:after="0"/>
        <w:ind w:right="-850"/>
        <w:rPr>
          <w:rStyle w:val="Heading1Char"/>
        </w:rPr>
      </w:pPr>
    </w:p>
    <w:p w14:paraId="0E09A6EF" w14:textId="77777777" w:rsidR="00E55F85" w:rsidRDefault="00E55F85" w:rsidP="0012387F">
      <w:pPr>
        <w:spacing w:after="0"/>
        <w:ind w:right="-850"/>
        <w:rPr>
          <w:rStyle w:val="Heading1Char"/>
        </w:rPr>
      </w:pPr>
    </w:p>
    <w:p w14:paraId="541D3458" w14:textId="77777777" w:rsidR="00042EF7" w:rsidRDefault="00042EF7" w:rsidP="00E3375B">
      <w:pPr>
        <w:spacing w:after="0"/>
        <w:ind w:right="-850"/>
        <w:rPr>
          <w:rFonts w:asciiTheme="majorHAnsi" w:eastAsiaTheme="majorEastAsia" w:hAnsiTheme="majorHAnsi" w:cstheme="majorBidi"/>
          <w:color w:val="2F5496" w:themeColor="accent1" w:themeShade="BF"/>
          <w:sz w:val="32"/>
          <w:szCs w:val="32"/>
        </w:rPr>
      </w:pPr>
    </w:p>
    <w:p w14:paraId="05D4999C" w14:textId="69AABA3F" w:rsidR="00042EF7" w:rsidRDefault="001F19F4" w:rsidP="00042EF7">
      <w:pPr>
        <w:spacing w:after="0"/>
        <w:ind w:left="2750" w:right="-850" w:firstLine="850"/>
        <w:rPr>
          <w:rStyle w:val="Heading1Char"/>
        </w:rPr>
      </w:pPr>
      <w:r w:rsidRPr="001F19F4">
        <w:rPr>
          <w:rFonts w:asciiTheme="majorHAnsi" w:eastAsiaTheme="majorEastAsia" w:hAnsiTheme="majorHAnsi" w:cstheme="majorBidi"/>
          <w:color w:val="2F5496" w:themeColor="accent1" w:themeShade="BF"/>
          <w:sz w:val="32"/>
          <w:szCs w:val="32"/>
        </w:rPr>
        <w:lastRenderedPageBreak/>
        <w:t xml:space="preserve">Strategic Consultancy </w:t>
      </w:r>
      <w:r w:rsidR="00042EF7" w:rsidRPr="00B93DC0">
        <w:rPr>
          <w:rFonts w:asciiTheme="majorHAnsi" w:eastAsiaTheme="majorEastAsia" w:hAnsiTheme="majorHAnsi" w:cstheme="majorBidi"/>
          <w:color w:val="2F5496" w:themeColor="accent1" w:themeShade="BF"/>
          <w:sz w:val="32"/>
          <w:szCs w:val="32"/>
        </w:rPr>
        <w:t>Assignment Guidelines</w:t>
      </w:r>
    </w:p>
    <w:p w14:paraId="71BDFAF6" w14:textId="488521EA" w:rsidR="009B64EB" w:rsidRDefault="009B64EB" w:rsidP="00042EF7">
      <w:pPr>
        <w:spacing w:after="0"/>
        <w:ind w:left="-850" w:right="-850"/>
      </w:pPr>
      <w:r w:rsidRPr="009B64EB">
        <w:rPr>
          <w:rStyle w:val="Heading1Char"/>
        </w:rPr>
        <w:t>1</w:t>
      </w:r>
      <w:r w:rsidRPr="009B64EB">
        <w:tab/>
      </w:r>
      <w:r w:rsidRPr="009B64EB">
        <w:rPr>
          <w:rStyle w:val="Heading1Char"/>
        </w:rPr>
        <w:t>Application Process</w:t>
      </w:r>
    </w:p>
    <w:p w14:paraId="68168E4B" w14:textId="567BC806" w:rsidR="009B64EB" w:rsidRDefault="009B64EB" w:rsidP="00BE1525">
      <w:pPr>
        <w:spacing w:after="0"/>
        <w:ind w:left="-850" w:right="-850"/>
      </w:pPr>
      <w:r>
        <w:t>1.1</w:t>
      </w:r>
      <w:r>
        <w:tab/>
        <w:t xml:space="preserve">The company contacts their Enterprise Ireland Development Advisor to discuss their eligibility for </w:t>
      </w:r>
      <w:bookmarkStart w:id="1" w:name="_Hlk106613052"/>
      <w:r w:rsidR="001F19F4">
        <w:t>Strategic Consultancy</w:t>
      </w:r>
      <w:r>
        <w:t xml:space="preserve"> </w:t>
      </w:r>
      <w:bookmarkEnd w:id="1"/>
      <w:r>
        <w:t xml:space="preserve">funding support.  </w:t>
      </w:r>
    </w:p>
    <w:p w14:paraId="445DB8B3" w14:textId="7C8BE20E" w:rsidR="009B64EB" w:rsidRDefault="009B64EB" w:rsidP="00BE1525">
      <w:pPr>
        <w:spacing w:after="0"/>
        <w:ind w:left="-850" w:right="-850"/>
      </w:pPr>
      <w:r>
        <w:t>1.2</w:t>
      </w:r>
      <w:r>
        <w:tab/>
        <w:t xml:space="preserve">The company may be invited to apply online for </w:t>
      </w:r>
      <w:r w:rsidR="001F19F4">
        <w:t xml:space="preserve">Strategic Consultancy </w:t>
      </w:r>
      <w:r>
        <w:t>funding.</w:t>
      </w:r>
    </w:p>
    <w:p w14:paraId="5A83829E" w14:textId="77777777" w:rsidR="009B64EB" w:rsidRDefault="009B64EB" w:rsidP="00BE1525">
      <w:pPr>
        <w:spacing w:after="0"/>
        <w:ind w:left="-850" w:right="-850"/>
      </w:pPr>
      <w:r>
        <w:t>1.3</w:t>
      </w:r>
      <w:r>
        <w:tab/>
        <w:t>Applications are subject to an evaluation process.</w:t>
      </w:r>
    </w:p>
    <w:p w14:paraId="0236CE34" w14:textId="77777777" w:rsidR="009B64EB" w:rsidRDefault="009B64EB" w:rsidP="00BE1525">
      <w:pPr>
        <w:spacing w:after="0"/>
        <w:ind w:left="-850" w:right="-850"/>
      </w:pPr>
      <w:r>
        <w:t>1.4</w:t>
      </w:r>
      <w:r>
        <w:tab/>
        <w:t xml:space="preserve">The client will be notified of the decision, normally within 3 - 4 weeks. </w:t>
      </w:r>
    </w:p>
    <w:p w14:paraId="0B915C76" w14:textId="77777777" w:rsidR="009B64EB" w:rsidRDefault="009B64EB" w:rsidP="00BE1525">
      <w:pPr>
        <w:spacing w:after="0"/>
        <w:ind w:left="-850" w:right="-850"/>
      </w:pPr>
      <w:r>
        <w:t>1.5</w:t>
      </w:r>
      <w:r>
        <w:tab/>
        <w:t xml:space="preserve">On approval, a ‘Letter of Offer’ will be emailed to the company. </w:t>
      </w:r>
    </w:p>
    <w:p w14:paraId="6294DDDB" w14:textId="77777777" w:rsidR="009B64EB" w:rsidRDefault="009B64EB" w:rsidP="00BE1525">
      <w:pPr>
        <w:spacing w:after="0"/>
        <w:ind w:left="-850" w:right="-850"/>
      </w:pPr>
      <w:r>
        <w:t xml:space="preserve">1.6 </w:t>
      </w:r>
      <w:r>
        <w:tab/>
        <w:t>To accept the offer the Letter must be signed and returned by the company’s Authorised Officer.</w:t>
      </w:r>
    </w:p>
    <w:p w14:paraId="730B439E" w14:textId="7A7E01FA" w:rsidR="009B64EB" w:rsidRDefault="009B64EB" w:rsidP="009E5614">
      <w:pPr>
        <w:spacing w:after="0"/>
        <w:ind w:left="-850" w:right="-850"/>
      </w:pPr>
      <w:r>
        <w:t>1.7</w:t>
      </w:r>
      <w:r>
        <w:tab/>
        <w:t>The assignment can then commence.</w:t>
      </w:r>
    </w:p>
    <w:p w14:paraId="4F1ED885" w14:textId="77777777" w:rsidR="009E5614" w:rsidRDefault="009E5614" w:rsidP="009E5614">
      <w:pPr>
        <w:spacing w:after="0"/>
        <w:ind w:left="-850" w:right="-850"/>
      </w:pPr>
    </w:p>
    <w:p w14:paraId="122DF88A" w14:textId="77777777" w:rsidR="009B64EB" w:rsidRDefault="009B64EB" w:rsidP="00BE1525">
      <w:pPr>
        <w:spacing w:after="0"/>
        <w:ind w:left="-850" w:right="-850"/>
      </w:pPr>
      <w:r>
        <w:t>The following information is required in the Application form:</w:t>
      </w:r>
    </w:p>
    <w:p w14:paraId="08A48E98" w14:textId="6A2CE74C" w:rsidR="009B64EB" w:rsidRDefault="00257105" w:rsidP="00BE1525">
      <w:pPr>
        <w:spacing w:after="0"/>
        <w:ind w:left="-850" w:right="-850"/>
      </w:pPr>
      <w:r>
        <w:t>i</w:t>
      </w:r>
      <w:r w:rsidR="009E5614">
        <w:t xml:space="preserve"> </w:t>
      </w:r>
      <w:r w:rsidR="009B64EB">
        <w:t>Company background</w:t>
      </w:r>
    </w:p>
    <w:p w14:paraId="2BFF0322" w14:textId="275C9478" w:rsidR="009B64EB" w:rsidRDefault="009B64EB" w:rsidP="00BE1525">
      <w:pPr>
        <w:spacing w:after="0"/>
        <w:ind w:left="-850" w:right="-850"/>
      </w:pPr>
      <w:r>
        <w:t>ii</w:t>
      </w:r>
      <w:r>
        <w:tab/>
        <w:t xml:space="preserve">Project details </w:t>
      </w:r>
    </w:p>
    <w:p w14:paraId="712805BE" w14:textId="6DC0C9B8" w:rsidR="009B64EB" w:rsidRDefault="009B64EB" w:rsidP="00686D0B">
      <w:pPr>
        <w:spacing w:after="0"/>
        <w:ind w:left="-850" w:right="-850"/>
      </w:pPr>
      <w:r>
        <w:t>iii</w:t>
      </w:r>
      <w:r w:rsidR="009E5614">
        <w:t xml:space="preserve"> </w:t>
      </w:r>
      <w:r>
        <w:t xml:space="preserve">A breakdown of tasks/activities to be undertaken during the project. </w:t>
      </w:r>
      <w:r w:rsidR="00686D0B">
        <w:t>This section should include details of internal and or external persons responsible for undertaking the tasks</w:t>
      </w:r>
    </w:p>
    <w:p w14:paraId="776FCCB1" w14:textId="397362D0" w:rsidR="009B64EB" w:rsidRDefault="00257105" w:rsidP="009E5614">
      <w:pPr>
        <w:spacing w:after="0"/>
        <w:ind w:left="-850" w:right="-850"/>
      </w:pPr>
      <w:r>
        <w:t>i</w:t>
      </w:r>
      <w:r w:rsidR="009B64EB">
        <w:t>v</w:t>
      </w:r>
      <w:r w:rsidR="009E5614">
        <w:t xml:space="preserve"> </w:t>
      </w:r>
      <w:r w:rsidR="009B64EB">
        <w:t xml:space="preserve">Details on how the project will impact on the company’s development in terms of </w:t>
      </w:r>
      <w:r w:rsidR="001F19F4">
        <w:t xml:space="preserve">emissions reduction, </w:t>
      </w:r>
      <w:r w:rsidR="009B64EB">
        <w:t>new sales, exports, new investment/expansion or job creation (2000 chars)</w:t>
      </w:r>
    </w:p>
    <w:p w14:paraId="5E8F24E5" w14:textId="12F6F227" w:rsidR="009E5614" w:rsidRPr="004552CB" w:rsidRDefault="00E532EF" w:rsidP="009E5614">
      <w:pPr>
        <w:spacing w:after="0"/>
        <w:ind w:left="-850" w:right="-850"/>
        <w:rPr>
          <w:b/>
          <w:bCs/>
        </w:rPr>
      </w:pPr>
      <w:r w:rsidRPr="004552CB">
        <w:t>v</w:t>
      </w:r>
      <w:r w:rsidR="00A40EEB" w:rsidRPr="004552CB">
        <w:rPr>
          <w:b/>
          <w:bCs/>
        </w:rPr>
        <w:t xml:space="preserve"> A</w:t>
      </w:r>
      <w:r w:rsidR="00265879" w:rsidRPr="004552CB">
        <w:rPr>
          <w:b/>
          <w:bCs/>
          <w:vertAlign w:val="superscript"/>
        </w:rPr>
        <w:t xml:space="preserve"> </w:t>
      </w:r>
      <w:r w:rsidR="00A40EEB" w:rsidRPr="004552CB">
        <w:rPr>
          <w:b/>
          <w:bCs/>
        </w:rPr>
        <w:t xml:space="preserve"> </w:t>
      </w:r>
      <w:hyperlink r:id="rId13" w:history="1">
        <w:r w:rsidR="00D12497">
          <w:rPr>
            <w:rStyle w:val="Hyperlink"/>
            <w:b/>
            <w:bCs/>
          </w:rPr>
          <w:t>Strategic Consultancy Plan</w:t>
        </w:r>
      </w:hyperlink>
      <w:r w:rsidR="00D12497">
        <w:rPr>
          <w:b/>
          <w:bCs/>
        </w:rPr>
        <w:t xml:space="preserve"> </w:t>
      </w:r>
      <w:r w:rsidR="00106E06">
        <w:rPr>
          <w:b/>
          <w:bCs/>
        </w:rPr>
        <w:t>(</w:t>
      </w:r>
      <w:r w:rsidR="00FB346F">
        <w:rPr>
          <w:b/>
          <w:bCs/>
        </w:rPr>
        <w:t xml:space="preserve">&amp; </w:t>
      </w:r>
      <w:r w:rsidR="00106E06">
        <w:rPr>
          <w:b/>
          <w:bCs/>
        </w:rPr>
        <w:t xml:space="preserve">energy audit </w:t>
      </w:r>
      <w:r w:rsidR="0007426C">
        <w:rPr>
          <w:b/>
          <w:bCs/>
        </w:rPr>
        <w:t>compliance sch</w:t>
      </w:r>
      <w:r w:rsidR="00FB346F">
        <w:rPr>
          <w:b/>
          <w:bCs/>
        </w:rPr>
        <w:t xml:space="preserve">eme </w:t>
      </w:r>
      <w:r w:rsidR="00106E06">
        <w:rPr>
          <w:b/>
          <w:bCs/>
        </w:rPr>
        <w:t>declaration)</w:t>
      </w:r>
      <w:r w:rsidR="00D12497">
        <w:rPr>
          <w:b/>
          <w:bCs/>
        </w:rPr>
        <w:t xml:space="preserve"> </w:t>
      </w:r>
      <w:r w:rsidR="00B2677E">
        <w:rPr>
          <w:b/>
          <w:bCs/>
        </w:rPr>
        <w:t>are</w:t>
      </w:r>
      <w:r w:rsidR="00A40EEB" w:rsidRPr="004552CB">
        <w:rPr>
          <w:b/>
          <w:bCs/>
        </w:rPr>
        <w:t xml:space="preserve"> required </w:t>
      </w:r>
      <w:r w:rsidR="002B16E1">
        <w:rPr>
          <w:b/>
          <w:bCs/>
        </w:rPr>
        <w:t xml:space="preserve">in addition to the on-line </w:t>
      </w:r>
      <w:r w:rsidR="00A40EEB" w:rsidRPr="004552CB">
        <w:rPr>
          <w:b/>
          <w:bCs/>
        </w:rPr>
        <w:t>application.</w:t>
      </w:r>
      <w:r w:rsidR="00FB346F">
        <w:rPr>
          <w:b/>
          <w:bCs/>
        </w:rPr>
        <w:t xml:space="preserve"> The consultancy plan &amp; declaration are emailed</w:t>
      </w:r>
      <w:r w:rsidR="00EE0D2A" w:rsidRPr="00EB60B4">
        <w:t xml:space="preserve"> to </w:t>
      </w:r>
      <w:hyperlink r:id="rId14" w:history="1">
        <w:r w:rsidR="00EE0D2A" w:rsidRPr="001A361D">
          <w:rPr>
            <w:rStyle w:val="Hyperlink"/>
            <w:b/>
            <w:bCs/>
          </w:rPr>
          <w:t>green@enterprise-ireland.com</w:t>
        </w:r>
      </w:hyperlink>
      <w:r w:rsidR="00EE0D2A" w:rsidRPr="004552CB">
        <w:rPr>
          <w:b/>
          <w:bCs/>
        </w:rPr>
        <w:t xml:space="preserve"> </w:t>
      </w:r>
    </w:p>
    <w:p w14:paraId="07D74161" w14:textId="77777777" w:rsidR="00532494" w:rsidRDefault="00532494" w:rsidP="009E5614">
      <w:pPr>
        <w:spacing w:after="0"/>
        <w:ind w:left="-850" w:right="-850"/>
      </w:pPr>
    </w:p>
    <w:p w14:paraId="62C64F06" w14:textId="09F958BD" w:rsidR="009B64EB" w:rsidRDefault="009B64EB" w:rsidP="00BE1525">
      <w:pPr>
        <w:spacing w:after="0"/>
        <w:ind w:left="-850" w:right="-850"/>
      </w:pPr>
      <w:r>
        <w:rPr>
          <w:rStyle w:val="Heading1Char"/>
        </w:rPr>
        <w:t>2</w:t>
      </w:r>
      <w:r w:rsidRPr="009B64EB">
        <w:tab/>
      </w:r>
      <w:r w:rsidRPr="009B64EB">
        <w:rPr>
          <w:rStyle w:val="Heading1Char"/>
        </w:rPr>
        <w:t xml:space="preserve">Assignment Costs / Duration  </w:t>
      </w:r>
    </w:p>
    <w:p w14:paraId="48769D1A" w14:textId="44EDFCB5" w:rsidR="009B64EB" w:rsidRDefault="009B64EB" w:rsidP="009E5614">
      <w:pPr>
        <w:spacing w:after="0"/>
        <w:ind w:right="-850" w:hanging="850"/>
      </w:pPr>
      <w:r>
        <w:t>2.1</w:t>
      </w:r>
      <w:r w:rsidR="009E5614">
        <w:tab/>
      </w:r>
      <w:r>
        <w:t xml:space="preserve">A </w:t>
      </w:r>
      <w:r w:rsidR="001F19F4">
        <w:t xml:space="preserve">Strategic Consultancy </w:t>
      </w:r>
      <w:r>
        <w:t xml:space="preserve">Assignment will typically be </w:t>
      </w:r>
      <w:r w:rsidR="00E86A3C">
        <w:t>12</w:t>
      </w:r>
      <w:r>
        <w:t xml:space="preserve"> months in duration. The ‘Final Claim Date’ is given on the ‘Letter of Offer’ and is 1</w:t>
      </w:r>
      <w:r w:rsidR="001F19F4">
        <w:t>2</w:t>
      </w:r>
      <w:r>
        <w:t xml:space="preserve"> months from the ‘Letter of Offer’ date.</w:t>
      </w:r>
    </w:p>
    <w:p w14:paraId="0E0EC5CC" w14:textId="415D24A7" w:rsidR="00904722" w:rsidRDefault="009B64EB" w:rsidP="009E5614">
      <w:pPr>
        <w:spacing w:after="0"/>
        <w:ind w:left="-850" w:right="-850"/>
      </w:pPr>
      <w:r>
        <w:t>2.2</w:t>
      </w:r>
      <w:r>
        <w:tab/>
        <w:t xml:space="preserve">Eligible costs </w:t>
      </w:r>
      <w:r w:rsidR="00EB16E0">
        <w:t>include;</w:t>
      </w:r>
    </w:p>
    <w:p w14:paraId="0975BAA7" w14:textId="5F08C940" w:rsidR="009B64EB" w:rsidRDefault="00904722" w:rsidP="00904722">
      <w:pPr>
        <w:spacing w:after="0"/>
        <w:ind w:left="-850" w:right="-850" w:firstLine="850"/>
      </w:pPr>
      <w:r>
        <w:t>Service provider</w:t>
      </w:r>
      <w:r w:rsidR="00235F5E">
        <w:t xml:space="preserve"> co</w:t>
      </w:r>
      <w:r w:rsidR="0063059C">
        <w:t>s</w:t>
      </w:r>
      <w:r w:rsidR="00235F5E">
        <w:t>ts</w:t>
      </w:r>
      <w:r w:rsidR="009B64EB">
        <w:t xml:space="preserve"> capped at €900 per day inclusive of travel and subsistence and all out of pocket expenses</w:t>
      </w:r>
    </w:p>
    <w:p w14:paraId="048641BC" w14:textId="430A60B6" w:rsidR="009B64EB" w:rsidRDefault="009B64EB" w:rsidP="009E5614">
      <w:pPr>
        <w:spacing w:after="0"/>
        <w:ind w:left="-850" w:right="-850"/>
      </w:pPr>
      <w:r>
        <w:t>2.3</w:t>
      </w:r>
      <w:r>
        <w:tab/>
        <w:t>Total project cost up to €</w:t>
      </w:r>
      <w:r w:rsidR="001F19F4">
        <w:t>70</w:t>
      </w:r>
      <w:r w:rsidR="00515D6C">
        <w:t>,000</w:t>
      </w:r>
      <w:r w:rsidR="000E0C03">
        <w:t xml:space="preserve"> plus VAT</w:t>
      </w:r>
      <w:r>
        <w:t>, maximum EI grant up to €</w:t>
      </w:r>
      <w:r w:rsidR="001F19F4">
        <w:t>35</w:t>
      </w:r>
      <w:r>
        <w:t>,000</w:t>
      </w:r>
      <w:r w:rsidR="000E0C03">
        <w:t xml:space="preserve"> ex</w:t>
      </w:r>
      <w:r w:rsidR="00B036A9">
        <w:t>cluding</w:t>
      </w:r>
      <w:r w:rsidR="000E0C03">
        <w:t xml:space="preserve"> VAT</w:t>
      </w:r>
    </w:p>
    <w:p w14:paraId="2D946B17" w14:textId="0F492898" w:rsidR="009B64EB" w:rsidRDefault="009B64EB" w:rsidP="009E5614">
      <w:pPr>
        <w:spacing w:after="0"/>
        <w:ind w:left="-850" w:right="-850"/>
      </w:pPr>
      <w:r>
        <w:t>2.4</w:t>
      </w:r>
      <w:r>
        <w:tab/>
        <w:t xml:space="preserve">It is the responsibility of the company to claim the </w:t>
      </w:r>
      <w:r w:rsidR="001F19F4">
        <w:t>Strategic Consultancy</w:t>
      </w:r>
      <w:r>
        <w:t xml:space="preserve"> funding support</w:t>
      </w:r>
    </w:p>
    <w:p w14:paraId="4C8244F3" w14:textId="5A506A9E" w:rsidR="0032464C" w:rsidRDefault="009B64EB" w:rsidP="00EE0D2A">
      <w:pPr>
        <w:spacing w:after="0"/>
        <w:ind w:left="-850" w:right="-850"/>
      </w:pPr>
      <w:r>
        <w:t>2.5</w:t>
      </w:r>
      <w:r>
        <w:tab/>
        <w:t>The company is responsible for the payment of the service provider</w:t>
      </w:r>
      <w:r w:rsidR="00CF1595">
        <w:t xml:space="preserve"> before making a claim</w:t>
      </w:r>
      <w:r w:rsidR="00DF6AF0">
        <w:t xml:space="preserve"> (proof of payment will be required)</w:t>
      </w:r>
      <w:r w:rsidR="00FB12ED">
        <w:t>.</w:t>
      </w:r>
    </w:p>
    <w:p w14:paraId="443ABF26" w14:textId="77777777" w:rsidR="00EC04CF" w:rsidRDefault="00EC04CF" w:rsidP="00EE0D2A">
      <w:pPr>
        <w:spacing w:after="0"/>
        <w:ind w:left="-850" w:right="-850"/>
      </w:pPr>
    </w:p>
    <w:p w14:paraId="0A5D41CE" w14:textId="77777777" w:rsidR="002121EA" w:rsidRDefault="002121EA" w:rsidP="00EE0D2A">
      <w:pPr>
        <w:spacing w:after="0"/>
        <w:ind w:left="-850" w:right="-850"/>
      </w:pPr>
    </w:p>
    <w:p w14:paraId="7B737650" w14:textId="1EBEBDA6" w:rsidR="009B64EB" w:rsidRDefault="009B64EB" w:rsidP="0099451A">
      <w:pPr>
        <w:spacing w:after="0"/>
        <w:ind w:left="-850" w:right="-850"/>
      </w:pPr>
      <w:r>
        <w:rPr>
          <w:rStyle w:val="Heading1Char"/>
        </w:rPr>
        <w:t>3</w:t>
      </w:r>
      <w:r w:rsidRPr="009B64EB">
        <w:tab/>
      </w:r>
      <w:r w:rsidR="001F19F4" w:rsidRPr="001F19F4">
        <w:rPr>
          <w:rFonts w:asciiTheme="majorHAnsi" w:eastAsiaTheme="majorEastAsia" w:hAnsiTheme="majorHAnsi" w:cstheme="majorBidi"/>
          <w:color w:val="2F5496" w:themeColor="accent1" w:themeShade="BF"/>
          <w:sz w:val="32"/>
          <w:szCs w:val="32"/>
        </w:rPr>
        <w:t xml:space="preserve">Strategic Consultancy </w:t>
      </w:r>
      <w:r w:rsidR="00670D39">
        <w:rPr>
          <w:rFonts w:asciiTheme="majorHAnsi" w:eastAsiaTheme="majorEastAsia" w:hAnsiTheme="majorHAnsi" w:cstheme="majorBidi"/>
          <w:color w:val="2F5496" w:themeColor="accent1" w:themeShade="BF"/>
          <w:sz w:val="32"/>
          <w:szCs w:val="32"/>
        </w:rPr>
        <w:t xml:space="preserve">Interim &amp; Progress </w:t>
      </w:r>
      <w:r w:rsidRPr="009B64EB">
        <w:rPr>
          <w:rStyle w:val="Heading1Char"/>
        </w:rPr>
        <w:t>Report &amp; Claim</w:t>
      </w:r>
    </w:p>
    <w:p w14:paraId="0D6696C2" w14:textId="7F77E142" w:rsidR="00E437CB" w:rsidRDefault="00E437CB" w:rsidP="00E437CB">
      <w:pPr>
        <w:spacing w:after="0"/>
        <w:ind w:right="-850" w:hanging="850"/>
        <w:rPr>
          <w:color w:val="0000FF"/>
          <w:u w:val="single"/>
        </w:rPr>
      </w:pPr>
      <w:r>
        <w:t>3.1</w:t>
      </w:r>
      <w:r>
        <w:tab/>
        <w:t>The company downloads the ‘</w:t>
      </w:r>
      <w:r w:rsidR="00670D39">
        <w:t>Strategic Consultancy</w:t>
      </w:r>
      <w:r>
        <w:t xml:space="preserve"> Claim &amp; Director Stat</w:t>
      </w:r>
      <w:r w:rsidR="009D4A50">
        <w:t>eme</w:t>
      </w:r>
      <w:r>
        <w:t>nt</w:t>
      </w:r>
      <w:r w:rsidR="009D4A50">
        <w:t xml:space="preserve">’ </w:t>
      </w:r>
      <w:r w:rsidR="00670D39">
        <w:t xml:space="preserve">(&amp; </w:t>
      </w:r>
      <w:r>
        <w:t>Pr</w:t>
      </w:r>
      <w:r w:rsidR="009D4A50">
        <w:t>ogress</w:t>
      </w:r>
      <w:r>
        <w:t xml:space="preserve"> Report</w:t>
      </w:r>
      <w:r w:rsidR="00670D39">
        <w:t>)</w:t>
      </w:r>
      <w:r w:rsidR="00AF4E62">
        <w:t xml:space="preserve"> </w:t>
      </w:r>
      <w:r>
        <w:t>on</w:t>
      </w:r>
      <w:r w:rsidR="00670D39">
        <w:t xml:space="preserve"> </w:t>
      </w:r>
      <w:hyperlink r:id="rId15" w:history="1">
        <w:r w:rsidR="00670D39">
          <w:rPr>
            <w:rStyle w:val="Hyperlink"/>
          </w:rPr>
          <w:t>Strategic Consultancy Grant Claim webpage</w:t>
        </w:r>
      </w:hyperlink>
    </w:p>
    <w:p w14:paraId="598C71CF" w14:textId="1214F692" w:rsidR="00E437CB" w:rsidRPr="00EC1C3D" w:rsidRDefault="00E437CB" w:rsidP="00AA7D30">
      <w:pPr>
        <w:spacing w:after="0"/>
        <w:ind w:right="-850" w:hanging="850"/>
        <w:rPr>
          <w:color w:val="0000FF"/>
          <w:u w:val="single"/>
        </w:rPr>
      </w:pPr>
      <w:r w:rsidRPr="009450A9">
        <w:t>3.2</w:t>
      </w:r>
      <w:r w:rsidRPr="009450A9">
        <w:tab/>
      </w:r>
      <w:r>
        <w:t>The company emails</w:t>
      </w:r>
      <w:r w:rsidR="009C610F">
        <w:t xml:space="preserve"> the</w:t>
      </w:r>
      <w:r>
        <w:t xml:space="preserve"> </w:t>
      </w:r>
      <w:r w:rsidR="00FB0891">
        <w:t>completed</w:t>
      </w:r>
      <w:r>
        <w:t xml:space="preserve"> Claim </w:t>
      </w:r>
      <w:r w:rsidRPr="005E681C">
        <w:t xml:space="preserve">Documentation to </w:t>
      </w:r>
      <w:hyperlink r:id="rId16" w:history="1">
        <w:r w:rsidRPr="00846C19">
          <w:rPr>
            <w:rStyle w:val="Hyperlink"/>
          </w:rPr>
          <w:t>IndustryGrantClaims@enterprise-ireland.com</w:t>
        </w:r>
      </w:hyperlink>
      <w:r>
        <w:t xml:space="preserve"> </w:t>
      </w:r>
      <w:r w:rsidRPr="005E681C">
        <w:t>prior to the Final Claim Date</w:t>
      </w:r>
      <w:r>
        <w:t>.</w:t>
      </w:r>
      <w:r w:rsidRPr="00D4658D">
        <w:t xml:space="preserve"> </w:t>
      </w:r>
      <w:r w:rsidR="00712BDE">
        <w:t xml:space="preserve"> A </w:t>
      </w:r>
      <w:hyperlink r:id="rId17" w:history="1">
        <w:r w:rsidR="00D12497">
          <w:rPr>
            <w:rStyle w:val="Hyperlink"/>
            <w:b/>
            <w:bCs/>
          </w:rPr>
          <w:t>Strategic Consultancy Plan</w:t>
        </w:r>
      </w:hyperlink>
      <w:r w:rsidR="00D12497">
        <w:t xml:space="preserve"> </w:t>
      </w:r>
      <w:r w:rsidR="00712BDE">
        <w:t xml:space="preserve">of activities </w:t>
      </w:r>
      <w:r w:rsidR="002E4535">
        <w:t>carried out (similar to the application</w:t>
      </w:r>
      <w:r w:rsidR="00CC77C4">
        <w:t>)</w:t>
      </w:r>
      <w:r w:rsidR="00712BDE">
        <w:t xml:space="preserve"> is required</w:t>
      </w:r>
      <w:r w:rsidR="002E4535">
        <w:t xml:space="preserve"> in addition to the claim</w:t>
      </w:r>
      <w:r w:rsidR="00CC77C4">
        <w:t xml:space="preserve">. </w:t>
      </w:r>
      <w:r w:rsidR="00EC04CF">
        <w:t>E</w:t>
      </w:r>
      <w:r w:rsidR="00CC77C4">
        <w:t>mail</w:t>
      </w:r>
      <w:r w:rsidR="00EC04CF">
        <w:t xml:space="preserve"> the consultancy plan</w:t>
      </w:r>
      <w:r w:rsidR="00CC77C4">
        <w:t xml:space="preserve"> to </w:t>
      </w:r>
      <w:hyperlink r:id="rId18" w:history="1">
        <w:r w:rsidR="00CC77C4" w:rsidRPr="000337F7">
          <w:rPr>
            <w:rStyle w:val="Hyperlink"/>
          </w:rPr>
          <w:t>green@enterprise-ireland.com</w:t>
        </w:r>
      </w:hyperlink>
      <w:r w:rsidR="00CC77C4">
        <w:t xml:space="preserve"> </w:t>
      </w:r>
    </w:p>
    <w:p w14:paraId="5B470297" w14:textId="77777777" w:rsidR="009A6940" w:rsidRDefault="009A6940" w:rsidP="0099451A">
      <w:pPr>
        <w:spacing w:after="0"/>
        <w:ind w:right="-850" w:hanging="850"/>
      </w:pPr>
    </w:p>
    <w:p w14:paraId="3DE4E30D" w14:textId="4A96730D" w:rsidR="001A1F99" w:rsidRDefault="001A1F99" w:rsidP="00477DD1">
      <w:pPr>
        <w:spacing w:after="0"/>
        <w:ind w:left="-850" w:right="-850"/>
        <w:rPr>
          <w:rStyle w:val="Heading1Char"/>
        </w:rPr>
      </w:pPr>
      <w:bookmarkStart w:id="2" w:name="_Hlk57129541"/>
      <w:r>
        <w:rPr>
          <w:rStyle w:val="Heading1Char"/>
        </w:rPr>
        <w:t>4</w:t>
      </w:r>
      <w:r w:rsidRPr="009B64EB">
        <w:tab/>
      </w:r>
      <w:r w:rsidR="0086612A">
        <w:rPr>
          <w:rStyle w:val="Heading1Char"/>
        </w:rPr>
        <w:t>Eligible Activities</w:t>
      </w:r>
    </w:p>
    <w:bookmarkEnd w:id="2"/>
    <w:p w14:paraId="026F82EE" w14:textId="3D8D0DA5" w:rsidR="002121EA" w:rsidRDefault="00DC776E" w:rsidP="00DF439C">
      <w:pPr>
        <w:spacing w:after="0"/>
        <w:ind w:left="-850" w:right="-850"/>
      </w:pPr>
      <w:r>
        <w:t xml:space="preserve">Strategic Consultancy </w:t>
      </w:r>
      <w:r w:rsidR="00C63125">
        <w:t xml:space="preserve">project is </w:t>
      </w:r>
      <w:r w:rsidRPr="00DC776E">
        <w:t xml:space="preserve">carried out by an external </w:t>
      </w:r>
      <w:r w:rsidR="00C63125">
        <w:t>expert</w:t>
      </w:r>
      <w:r w:rsidR="002121EA">
        <w:t>/green service provider</w:t>
      </w:r>
      <w:r w:rsidR="00C63125">
        <w:t xml:space="preserve"> </w:t>
      </w:r>
      <w:r w:rsidRPr="00DC776E">
        <w:t xml:space="preserve">with an eligible company </w:t>
      </w:r>
      <w:r w:rsidR="00C63125">
        <w:t>to develop</w:t>
      </w:r>
      <w:r w:rsidR="00C63125" w:rsidRPr="00C63125">
        <w:t xml:space="preserve"> an </w:t>
      </w:r>
      <w:bookmarkStart w:id="3" w:name="_Hlk106612579"/>
      <w:r w:rsidR="00C63125" w:rsidRPr="00C63125">
        <w:t xml:space="preserve">Organisational Carbon Reduction Roadmap </w:t>
      </w:r>
      <w:bookmarkEnd w:id="3"/>
      <w:r w:rsidRPr="00DC776E">
        <w:t xml:space="preserve">as outlined below. </w:t>
      </w:r>
    </w:p>
    <w:p w14:paraId="4F6BA4CA" w14:textId="77777777" w:rsidR="002121EA" w:rsidRDefault="002121EA" w:rsidP="00DF439C">
      <w:pPr>
        <w:spacing w:after="0"/>
        <w:ind w:left="-850" w:right="-850"/>
      </w:pPr>
    </w:p>
    <w:tbl>
      <w:tblPr>
        <w:tblStyle w:val="TableGrid"/>
        <w:tblW w:w="13892" w:type="dxa"/>
        <w:tblInd w:w="-714" w:type="dxa"/>
        <w:tblLook w:val="04A0" w:firstRow="1" w:lastRow="0" w:firstColumn="1" w:lastColumn="0" w:noHBand="0" w:noVBand="1"/>
      </w:tblPr>
      <w:tblGrid>
        <w:gridCol w:w="13892"/>
      </w:tblGrid>
      <w:tr w:rsidR="002121EA" w:rsidRPr="006003A7" w14:paraId="44C6C9EA" w14:textId="77777777" w:rsidTr="00ED4EF1">
        <w:tc>
          <w:tcPr>
            <w:tcW w:w="13892" w:type="dxa"/>
          </w:tcPr>
          <w:p w14:paraId="6677B6BB" w14:textId="77777777" w:rsidR="002121EA" w:rsidRPr="00C63125" w:rsidRDefault="002121EA" w:rsidP="00C03B4F">
            <w:pPr>
              <w:ind w:right="-850"/>
              <w:rPr>
                <w:rFonts w:cstheme="minorHAnsi"/>
                <w:b/>
                <w:bCs/>
              </w:rPr>
            </w:pPr>
            <w:r w:rsidRPr="00C63125">
              <w:rPr>
                <w:rFonts w:cstheme="minorHAnsi"/>
                <w:b/>
                <w:bCs/>
              </w:rPr>
              <w:t xml:space="preserve">Develop an Organisational Carbon Reduction Roadmap  </w:t>
            </w:r>
          </w:p>
          <w:p w14:paraId="2B50D165" w14:textId="48DBFB99" w:rsidR="002121EA" w:rsidRPr="00C63125" w:rsidRDefault="002121EA" w:rsidP="00C03B4F">
            <w:pPr>
              <w:pStyle w:val="Default"/>
              <w:spacing w:after="53"/>
              <w:rPr>
                <w:rFonts w:asciiTheme="minorHAnsi" w:hAnsiTheme="minorHAnsi" w:cstheme="minorHAnsi"/>
                <w:sz w:val="22"/>
                <w:szCs w:val="22"/>
              </w:rPr>
            </w:pPr>
            <w:r w:rsidRPr="00C63125">
              <w:rPr>
                <w:rFonts w:asciiTheme="minorHAnsi" w:hAnsiTheme="minorHAnsi" w:cstheme="minorHAnsi"/>
                <w:sz w:val="22"/>
                <w:szCs w:val="22"/>
              </w:rPr>
              <w:t xml:space="preserve">Develop a consolidated opportunity lists for energy including ranking based on </w:t>
            </w:r>
            <w:r w:rsidR="009A1550">
              <w:rPr>
                <w:rFonts w:asciiTheme="minorHAnsi" w:hAnsiTheme="minorHAnsi" w:cstheme="minorHAnsi"/>
                <w:sz w:val="22"/>
                <w:szCs w:val="22"/>
              </w:rPr>
              <w:t>Emiss</w:t>
            </w:r>
            <w:r w:rsidR="00ED4EF1">
              <w:rPr>
                <w:rFonts w:asciiTheme="minorHAnsi" w:hAnsiTheme="minorHAnsi" w:cstheme="minorHAnsi"/>
                <w:sz w:val="22"/>
                <w:szCs w:val="22"/>
              </w:rPr>
              <w:t>ions</w:t>
            </w:r>
            <w:r w:rsidRPr="00C63125">
              <w:rPr>
                <w:rFonts w:asciiTheme="minorHAnsi" w:hAnsiTheme="minorHAnsi" w:cstheme="minorHAnsi"/>
                <w:sz w:val="22"/>
                <w:szCs w:val="22"/>
              </w:rPr>
              <w:t xml:space="preserve">, Energy Efficiency, and payback. </w:t>
            </w:r>
          </w:p>
          <w:p w14:paraId="567DD167" w14:textId="0F55B3B2" w:rsidR="002121EA" w:rsidRDefault="002121EA" w:rsidP="00C03B4F">
            <w:pPr>
              <w:pStyle w:val="Default"/>
              <w:spacing w:after="53"/>
              <w:rPr>
                <w:rFonts w:asciiTheme="minorHAnsi" w:hAnsiTheme="minorHAnsi" w:cstheme="minorHAnsi"/>
                <w:sz w:val="22"/>
                <w:szCs w:val="22"/>
              </w:rPr>
            </w:pPr>
            <w:r w:rsidRPr="00C63125">
              <w:rPr>
                <w:rFonts w:asciiTheme="minorHAnsi" w:hAnsiTheme="minorHAnsi" w:cstheme="minorHAnsi"/>
                <w:sz w:val="22"/>
                <w:szCs w:val="22"/>
              </w:rPr>
              <w:t>Quantify the Organisation’s Operational carbon footprint on existing energy data based on GHG Protocol, ISO 14064</w:t>
            </w:r>
            <w:r w:rsidR="00950E7B">
              <w:rPr>
                <w:rFonts w:asciiTheme="minorHAnsi" w:hAnsiTheme="minorHAnsi" w:cstheme="minorHAnsi"/>
                <w:sz w:val="22"/>
                <w:szCs w:val="22"/>
              </w:rPr>
              <w:t>-1</w:t>
            </w:r>
            <w:r w:rsidRPr="00C63125">
              <w:rPr>
                <w:rFonts w:asciiTheme="minorHAnsi" w:hAnsiTheme="minorHAnsi" w:cstheme="minorHAnsi"/>
                <w:sz w:val="22"/>
                <w:szCs w:val="22"/>
              </w:rPr>
              <w:t xml:space="preserve"> or similar (Scope 1 &amp; 2)</w:t>
            </w:r>
          </w:p>
          <w:p w14:paraId="1AFD0E93" w14:textId="3F6AFED9" w:rsidR="001928B0" w:rsidRPr="00C63125" w:rsidRDefault="001928B0" w:rsidP="00C03B4F">
            <w:pPr>
              <w:pStyle w:val="Default"/>
              <w:spacing w:after="53"/>
              <w:rPr>
                <w:rFonts w:asciiTheme="minorHAnsi" w:hAnsiTheme="minorHAnsi" w:cstheme="minorHAnsi"/>
                <w:sz w:val="22"/>
                <w:szCs w:val="22"/>
              </w:rPr>
            </w:pPr>
            <w:r w:rsidRPr="001928B0">
              <w:rPr>
                <w:rFonts w:asciiTheme="minorHAnsi" w:hAnsiTheme="minorHAnsi" w:cstheme="minorHAnsi"/>
                <w:sz w:val="22"/>
                <w:szCs w:val="22"/>
              </w:rPr>
              <w:t>Provide/curate a spreadsheet-based data collection model to enable the company project team to quantify carbon footprint going forward</w:t>
            </w:r>
          </w:p>
          <w:p w14:paraId="33D741B9" w14:textId="268297DE" w:rsidR="002121EA" w:rsidRPr="00C63125" w:rsidRDefault="002121EA" w:rsidP="00C03B4F">
            <w:pPr>
              <w:pStyle w:val="Default"/>
              <w:spacing w:after="53"/>
              <w:rPr>
                <w:rFonts w:asciiTheme="minorHAnsi" w:hAnsiTheme="minorHAnsi" w:cstheme="minorHAnsi"/>
                <w:sz w:val="22"/>
                <w:szCs w:val="22"/>
              </w:rPr>
            </w:pPr>
            <w:r w:rsidRPr="00C63125">
              <w:rPr>
                <w:rFonts w:asciiTheme="minorHAnsi" w:hAnsiTheme="minorHAnsi" w:cstheme="minorHAnsi"/>
                <w:sz w:val="22"/>
                <w:szCs w:val="22"/>
              </w:rPr>
              <w:t>Project out carbon emissions in a do</w:t>
            </w:r>
            <w:r w:rsidR="00ED4EF1">
              <w:rPr>
                <w:rFonts w:asciiTheme="minorHAnsi" w:hAnsiTheme="minorHAnsi" w:cstheme="minorHAnsi"/>
                <w:sz w:val="22"/>
                <w:szCs w:val="22"/>
              </w:rPr>
              <w:t>-</w:t>
            </w:r>
            <w:r w:rsidRPr="00C63125">
              <w:rPr>
                <w:rFonts w:asciiTheme="minorHAnsi" w:hAnsiTheme="minorHAnsi" w:cstheme="minorHAnsi"/>
                <w:sz w:val="22"/>
                <w:szCs w:val="22"/>
              </w:rPr>
              <w:t xml:space="preserve">nothing scenario to 2030 </w:t>
            </w:r>
            <w:r w:rsidR="00005D22">
              <w:rPr>
                <w:rFonts w:asciiTheme="minorHAnsi" w:hAnsiTheme="minorHAnsi" w:cstheme="minorHAnsi"/>
                <w:sz w:val="22"/>
                <w:szCs w:val="22"/>
              </w:rPr>
              <w:t>using the client companies targets &amp; projections</w:t>
            </w:r>
          </w:p>
          <w:p w14:paraId="537B12AA" w14:textId="3F9CDF12" w:rsidR="00435F90" w:rsidRDefault="002121EA" w:rsidP="00C03B4F">
            <w:pPr>
              <w:pStyle w:val="Default"/>
              <w:rPr>
                <w:rFonts w:asciiTheme="minorHAnsi" w:hAnsiTheme="minorHAnsi" w:cstheme="minorHAnsi"/>
                <w:sz w:val="22"/>
                <w:szCs w:val="22"/>
              </w:rPr>
            </w:pPr>
            <w:r w:rsidRPr="00C63125">
              <w:rPr>
                <w:rFonts w:asciiTheme="minorHAnsi" w:hAnsiTheme="minorHAnsi" w:cstheme="minorHAnsi"/>
                <w:sz w:val="22"/>
                <w:szCs w:val="22"/>
              </w:rPr>
              <w:t xml:space="preserve">Generate </w:t>
            </w:r>
            <w:r w:rsidR="00ED4EF1">
              <w:rPr>
                <w:rFonts w:asciiTheme="minorHAnsi" w:hAnsiTheme="minorHAnsi" w:cstheme="minorHAnsi"/>
                <w:sz w:val="22"/>
                <w:szCs w:val="22"/>
              </w:rPr>
              <w:t>carbon reduction</w:t>
            </w:r>
            <w:r w:rsidRPr="00C63125">
              <w:rPr>
                <w:rFonts w:asciiTheme="minorHAnsi" w:hAnsiTheme="minorHAnsi" w:cstheme="minorHAnsi"/>
                <w:sz w:val="22"/>
                <w:szCs w:val="22"/>
              </w:rPr>
              <w:t xml:space="preserve"> road maps identifying the carbon reductions from the implementation of the projects on the consolidated opportunity lists</w:t>
            </w:r>
          </w:p>
          <w:p w14:paraId="0897DFEE" w14:textId="19CAA845" w:rsidR="00C664DD" w:rsidRDefault="00C664DD" w:rsidP="00C03B4F">
            <w:pPr>
              <w:pStyle w:val="Default"/>
              <w:rPr>
                <w:rFonts w:asciiTheme="minorHAnsi" w:hAnsiTheme="minorHAnsi" w:cstheme="minorHAnsi"/>
                <w:sz w:val="22"/>
                <w:szCs w:val="22"/>
              </w:rPr>
            </w:pPr>
            <w:r>
              <w:rPr>
                <w:rFonts w:asciiTheme="minorHAnsi" w:hAnsiTheme="minorHAnsi" w:cstheme="minorHAnsi"/>
                <w:sz w:val="22"/>
                <w:szCs w:val="22"/>
              </w:rPr>
              <w:t>Investi</w:t>
            </w:r>
            <w:r w:rsidR="00B6205E">
              <w:rPr>
                <w:rFonts w:asciiTheme="minorHAnsi" w:hAnsiTheme="minorHAnsi" w:cstheme="minorHAnsi"/>
                <w:sz w:val="22"/>
                <w:szCs w:val="22"/>
              </w:rPr>
              <w:t>ga</w:t>
            </w:r>
            <w:r>
              <w:rPr>
                <w:rFonts w:asciiTheme="minorHAnsi" w:hAnsiTheme="minorHAnsi" w:cstheme="minorHAnsi"/>
                <w:sz w:val="22"/>
                <w:szCs w:val="22"/>
              </w:rPr>
              <w:t xml:space="preserve">te all potentially </w:t>
            </w:r>
            <w:r w:rsidR="00B6205E">
              <w:rPr>
                <w:rFonts w:asciiTheme="minorHAnsi" w:hAnsiTheme="minorHAnsi" w:cstheme="minorHAnsi"/>
                <w:sz w:val="22"/>
                <w:szCs w:val="22"/>
              </w:rPr>
              <w:t>feasible technologies</w:t>
            </w:r>
          </w:p>
          <w:p w14:paraId="3590650F" w14:textId="0A019CCD" w:rsidR="00014B92" w:rsidRDefault="00014B92" w:rsidP="00C03B4F">
            <w:pPr>
              <w:pStyle w:val="Default"/>
              <w:rPr>
                <w:rFonts w:asciiTheme="minorHAnsi" w:hAnsiTheme="minorHAnsi" w:cstheme="minorHAnsi"/>
                <w:sz w:val="22"/>
                <w:szCs w:val="22"/>
              </w:rPr>
            </w:pPr>
            <w:r w:rsidRPr="00014B92">
              <w:rPr>
                <w:rFonts w:asciiTheme="minorHAnsi" w:hAnsiTheme="minorHAnsi" w:cstheme="minorHAnsi"/>
                <w:sz w:val="22"/>
                <w:szCs w:val="22"/>
              </w:rPr>
              <w:t xml:space="preserve">Provide guidance on </w:t>
            </w:r>
            <w:r>
              <w:rPr>
                <w:rFonts w:asciiTheme="minorHAnsi" w:hAnsiTheme="minorHAnsi" w:cstheme="minorHAnsi"/>
                <w:sz w:val="22"/>
                <w:szCs w:val="22"/>
              </w:rPr>
              <w:t xml:space="preserve">the </w:t>
            </w:r>
            <w:r w:rsidRPr="00014B92">
              <w:rPr>
                <w:rFonts w:asciiTheme="minorHAnsi" w:hAnsiTheme="minorHAnsi" w:cstheme="minorHAnsi"/>
                <w:sz w:val="22"/>
                <w:szCs w:val="22"/>
              </w:rPr>
              <w:t xml:space="preserve">economic case for any </w:t>
            </w:r>
            <w:r w:rsidR="00737924">
              <w:rPr>
                <w:rFonts w:asciiTheme="minorHAnsi" w:hAnsiTheme="minorHAnsi" w:cstheme="minorHAnsi"/>
                <w:sz w:val="22"/>
                <w:szCs w:val="22"/>
              </w:rPr>
              <w:t xml:space="preserve">potential </w:t>
            </w:r>
            <w:r w:rsidRPr="00014B92">
              <w:rPr>
                <w:rFonts w:asciiTheme="minorHAnsi" w:hAnsiTheme="minorHAnsi" w:cstheme="minorHAnsi"/>
                <w:sz w:val="22"/>
                <w:szCs w:val="22"/>
              </w:rPr>
              <w:t xml:space="preserve">investments </w:t>
            </w:r>
          </w:p>
          <w:p w14:paraId="1A3029F8" w14:textId="77777777" w:rsidR="002121EA" w:rsidRPr="006003A7" w:rsidRDefault="002121EA" w:rsidP="00C03B4F">
            <w:pPr>
              <w:pStyle w:val="Default"/>
              <w:rPr>
                <w:sz w:val="22"/>
                <w:szCs w:val="22"/>
              </w:rPr>
            </w:pPr>
            <w:r w:rsidRPr="00C63125">
              <w:rPr>
                <w:rFonts w:asciiTheme="minorHAnsi" w:hAnsiTheme="minorHAnsi" w:cstheme="minorHAnsi"/>
                <w:sz w:val="22"/>
                <w:szCs w:val="22"/>
              </w:rPr>
              <w:t>Advise on other technical and financial supports, e.g. SEAI supports &amp; Energy Efficiency Obligation Scheme (EEOS)</w:t>
            </w:r>
          </w:p>
        </w:tc>
      </w:tr>
    </w:tbl>
    <w:p w14:paraId="655C753F" w14:textId="1A7BF675" w:rsidR="002121EA" w:rsidRDefault="002121EA" w:rsidP="00DF439C">
      <w:pPr>
        <w:spacing w:after="0"/>
        <w:ind w:left="-850" w:right="-850"/>
      </w:pPr>
    </w:p>
    <w:p w14:paraId="72A0E88A" w14:textId="58BF9EE3" w:rsidR="007E7C34" w:rsidRDefault="00D14EE8" w:rsidP="00DF439C">
      <w:pPr>
        <w:spacing w:after="0"/>
        <w:ind w:left="-850" w:right="-850"/>
      </w:pPr>
      <w:r>
        <w:t>Note</w:t>
      </w:r>
    </w:p>
    <w:p w14:paraId="14A675CC" w14:textId="3A16834C" w:rsidR="00D14EE8" w:rsidRDefault="00D14EE8" w:rsidP="0000306B">
      <w:pPr>
        <w:pStyle w:val="ListParagraph"/>
        <w:numPr>
          <w:ilvl w:val="0"/>
          <w:numId w:val="10"/>
        </w:numPr>
        <w:spacing w:after="0"/>
        <w:ind w:right="-850"/>
      </w:pPr>
      <w:r>
        <w:t xml:space="preserve">Large companies are eligible for Strategic Consultancy </w:t>
      </w:r>
      <w:r w:rsidR="00A06A28">
        <w:t xml:space="preserve">to </w:t>
      </w:r>
      <w:r w:rsidR="005134D0">
        <w:t>‘</w:t>
      </w:r>
      <w:r w:rsidR="005134D0" w:rsidRPr="005134D0">
        <w:t xml:space="preserve">Develop an </w:t>
      </w:r>
      <w:r w:rsidR="002A73E6">
        <w:t>O</w:t>
      </w:r>
      <w:r w:rsidR="005134D0" w:rsidRPr="005134D0">
        <w:t>rganisational carbon reduction roadmap</w:t>
      </w:r>
      <w:r w:rsidR="005134D0">
        <w:t>’ only.</w:t>
      </w:r>
      <w:r w:rsidR="00733297">
        <w:t xml:space="preserve"> </w:t>
      </w:r>
      <w:r w:rsidR="00733297" w:rsidRPr="00733297">
        <w:t>Large companies are not eligible for other strategic assignments under</w:t>
      </w:r>
      <w:r w:rsidR="00F019B8">
        <w:t xml:space="preserve"> the</w:t>
      </w:r>
      <w:r w:rsidR="00733297" w:rsidRPr="00733297">
        <w:t xml:space="preserve"> Strategic Consultancy Grant</w:t>
      </w:r>
    </w:p>
    <w:p w14:paraId="050F92A5" w14:textId="77777777" w:rsidR="00926BAA" w:rsidRDefault="00926BAA" w:rsidP="00926BAA">
      <w:pPr>
        <w:pStyle w:val="ListParagraph"/>
        <w:spacing w:after="0"/>
        <w:ind w:left="-130" w:right="-850"/>
      </w:pPr>
    </w:p>
    <w:p w14:paraId="5F2D26B3" w14:textId="6406A2E5" w:rsidR="007E7C34" w:rsidRDefault="007E7C34" w:rsidP="007E7C34">
      <w:pPr>
        <w:pStyle w:val="ListParagraph"/>
        <w:numPr>
          <w:ilvl w:val="0"/>
          <w:numId w:val="10"/>
        </w:numPr>
        <w:spacing w:after="0"/>
        <w:ind w:right="-850"/>
      </w:pPr>
      <w:r>
        <w:t>Eligible projects</w:t>
      </w:r>
      <w:r w:rsidR="0035436E">
        <w:t xml:space="preserve"> for ‘</w:t>
      </w:r>
      <w:r w:rsidR="0035436E" w:rsidRPr="0035436E">
        <w:t>Strategic Consultancy Grant - Short Projects</w:t>
      </w:r>
      <w:r w:rsidR="0035436E">
        <w:t>’</w:t>
      </w:r>
      <w:r w:rsidR="0035436E" w:rsidRPr="0035436E">
        <w:t xml:space="preserve"> </w:t>
      </w:r>
      <w:r>
        <w:t>must relate to:</w:t>
      </w:r>
    </w:p>
    <w:p w14:paraId="623281C2" w14:textId="77777777" w:rsidR="007E7C34" w:rsidRDefault="007E7C34" w:rsidP="007E7C34">
      <w:pPr>
        <w:spacing w:after="0"/>
        <w:ind w:left="-850" w:right="-850"/>
      </w:pPr>
      <w:r>
        <w:t>(a) an Identified pillar issue and/or action arising from a Client Development Meeting or</w:t>
      </w:r>
    </w:p>
    <w:p w14:paraId="4BFDB2E8" w14:textId="6465F6FC" w:rsidR="00DD63B5" w:rsidRDefault="007E7C34" w:rsidP="007E7C34">
      <w:pPr>
        <w:spacing w:after="0"/>
        <w:ind w:left="-850" w:right="-850"/>
      </w:pPr>
      <w:r>
        <w:t xml:space="preserve">(b) Achieving Gender Balanced teams (actions arising from </w:t>
      </w:r>
      <w:hyperlink r:id="rId19" w:history="1">
        <w:r w:rsidR="00926BAA" w:rsidRPr="007363F9">
          <w:rPr>
            <w:rStyle w:val="Hyperlink"/>
          </w:rPr>
          <w:t>www.levelproject.ie</w:t>
        </w:r>
      </w:hyperlink>
      <w:r>
        <w:t>)</w:t>
      </w:r>
    </w:p>
    <w:p w14:paraId="2752601C" w14:textId="77777777" w:rsidR="00477976" w:rsidRDefault="00477976" w:rsidP="007E7C34">
      <w:pPr>
        <w:spacing w:after="0"/>
        <w:ind w:left="-850" w:right="-850"/>
      </w:pPr>
    </w:p>
    <w:p w14:paraId="28E53272" w14:textId="036B012A" w:rsidR="00926BAA" w:rsidRDefault="002C0AFF" w:rsidP="005170E4">
      <w:pPr>
        <w:pStyle w:val="ListParagraph"/>
        <w:numPr>
          <w:ilvl w:val="0"/>
          <w:numId w:val="11"/>
        </w:numPr>
        <w:spacing w:after="0"/>
        <w:ind w:right="-850"/>
      </w:pPr>
      <w:r>
        <w:t>D</w:t>
      </w:r>
      <w:r w:rsidRPr="002C0AFF">
        <w:t>evelop</w:t>
      </w:r>
      <w:r>
        <w:t>ing</w:t>
      </w:r>
      <w:r w:rsidRPr="002C0AFF">
        <w:t xml:space="preserve"> a carbon reduction roadmap</w:t>
      </w:r>
      <w:r>
        <w:t xml:space="preserve"> can be supported under </w:t>
      </w:r>
      <w:hyperlink r:id="rId20" w:history="1">
        <w:r w:rsidR="004E4EFD" w:rsidRPr="002C0AFF">
          <w:rPr>
            <w:color w:val="0000FF"/>
            <w:u w:val="single"/>
          </w:rPr>
          <w:t>GreenStart</w:t>
        </w:r>
      </w:hyperlink>
      <w:r w:rsidR="00477976">
        <w:t xml:space="preserve"> </w:t>
      </w:r>
      <w:r w:rsidR="008B4417">
        <w:t>For c</w:t>
      </w:r>
      <w:r>
        <w:t xml:space="preserve">ompanies </w:t>
      </w:r>
      <w:r w:rsidR="004E4EFD">
        <w:t>with lower energy usage/less complex operations</w:t>
      </w:r>
      <w:r w:rsidR="008B4417">
        <w:t>,</w:t>
      </w:r>
      <w:r w:rsidR="00DC735E">
        <w:t xml:space="preserve"> </w:t>
      </w:r>
      <w:r w:rsidR="008B4417">
        <w:t>GreenStart is more appropriate</w:t>
      </w:r>
      <w:r w:rsidR="00DC735E">
        <w:t>/better fit</w:t>
      </w:r>
      <w:r w:rsidR="008B4417">
        <w:t xml:space="preserve"> than Strategic Consultancy</w:t>
      </w:r>
      <w:r w:rsidR="005170E4">
        <w:t>.</w:t>
      </w:r>
    </w:p>
    <w:p w14:paraId="56DEE6D6" w14:textId="77777777" w:rsidR="00733297" w:rsidRDefault="00733297" w:rsidP="00DF439C">
      <w:pPr>
        <w:spacing w:after="0"/>
        <w:ind w:left="-850" w:right="-850"/>
      </w:pPr>
    </w:p>
    <w:p w14:paraId="02DD5053" w14:textId="5B8F0C32" w:rsidR="00B81E86" w:rsidRDefault="00B81E86" w:rsidP="00B81E86">
      <w:pPr>
        <w:spacing w:after="0"/>
        <w:ind w:left="-850" w:right="-850"/>
        <w:rPr>
          <w:rStyle w:val="Heading1Char"/>
        </w:rPr>
      </w:pPr>
      <w:r>
        <w:rPr>
          <w:rStyle w:val="Heading1Char"/>
        </w:rPr>
        <w:t>5</w:t>
      </w:r>
      <w:r w:rsidRPr="009B64EB">
        <w:tab/>
      </w:r>
      <w:r>
        <w:rPr>
          <w:rStyle w:val="Heading1Char"/>
        </w:rPr>
        <w:t xml:space="preserve">Eligible </w:t>
      </w:r>
      <w:r w:rsidR="00F25E74">
        <w:rPr>
          <w:rStyle w:val="Heading1Char"/>
        </w:rPr>
        <w:t>Companies</w:t>
      </w:r>
    </w:p>
    <w:p w14:paraId="20AAB555" w14:textId="77777777" w:rsidR="002121EA" w:rsidRDefault="002121EA" w:rsidP="00DF439C">
      <w:pPr>
        <w:spacing w:after="0"/>
        <w:ind w:left="-850" w:right="-850"/>
      </w:pPr>
    </w:p>
    <w:p w14:paraId="573A12B9" w14:textId="3CEC15E4" w:rsidR="00DC776E" w:rsidRDefault="00926BAA" w:rsidP="00DF439C">
      <w:pPr>
        <w:spacing w:after="0"/>
        <w:ind w:left="-850" w:right="-850"/>
      </w:pPr>
      <w:r>
        <w:t>To Develop a Carbon Reduction Roadmap under</w:t>
      </w:r>
      <w:r w:rsidR="003659E8">
        <w:t xml:space="preserve"> </w:t>
      </w:r>
      <w:r w:rsidR="0034117E">
        <w:t>Strategic Consultancy</w:t>
      </w:r>
      <w:r w:rsidR="00F019B8">
        <w:t>,</w:t>
      </w:r>
      <w:r w:rsidR="00F019B8" w:rsidRPr="00F019B8">
        <w:t xml:space="preserve"> </w:t>
      </w:r>
      <w:r w:rsidR="00F019B8">
        <w:t>e</w:t>
      </w:r>
      <w:r w:rsidR="00F019B8" w:rsidRPr="00F019B8">
        <w:t>ligible companies</w:t>
      </w:r>
      <w:r w:rsidR="0034117E">
        <w:t xml:space="preserve"> </w:t>
      </w:r>
      <w:r w:rsidR="003659E8">
        <w:t>are Enterprise Ireland SME &amp; Large client companies with a high energy spend.</w:t>
      </w:r>
    </w:p>
    <w:p w14:paraId="325CE363" w14:textId="77777777" w:rsidR="00223965" w:rsidRDefault="00223965" w:rsidP="003659E8">
      <w:pPr>
        <w:spacing w:after="0"/>
        <w:ind w:right="-850"/>
      </w:pPr>
    </w:p>
    <w:p w14:paraId="56B2C231" w14:textId="11ACBDC2" w:rsidR="007200BB" w:rsidRDefault="007200BB" w:rsidP="007200BB">
      <w:pPr>
        <w:spacing w:after="0"/>
        <w:ind w:left="-850" w:right="-850"/>
      </w:pPr>
      <w:r>
        <w:t xml:space="preserve">Companies </w:t>
      </w:r>
      <w:r w:rsidR="003659E8">
        <w:t>with a lower energy spend/less complex operations/</w:t>
      </w:r>
      <w:r>
        <w:t xml:space="preserve">at the early stages of their green journey are recommended to </w:t>
      </w:r>
    </w:p>
    <w:p w14:paraId="22D0A4AC" w14:textId="4108A942" w:rsidR="007200BB" w:rsidRDefault="007200BB" w:rsidP="007200BB">
      <w:pPr>
        <w:pStyle w:val="ListParagraph"/>
        <w:numPr>
          <w:ilvl w:val="0"/>
          <w:numId w:val="3"/>
        </w:numPr>
        <w:spacing w:after="0"/>
        <w:ind w:right="-850"/>
      </w:pPr>
      <w:r>
        <w:t xml:space="preserve"> Carr</w:t>
      </w:r>
      <w:r w:rsidRPr="00405CD8">
        <w:t>y out an</w:t>
      </w:r>
      <w:r>
        <w:t xml:space="preserve"> initial</w:t>
      </w:r>
      <w:r w:rsidRPr="00405CD8">
        <w:t xml:space="preserve"> assessment of their carbon footprint</w:t>
      </w:r>
      <w:r>
        <w:t xml:space="preserve"> </w:t>
      </w:r>
      <w:r w:rsidR="00C76014">
        <w:t>using the</w:t>
      </w:r>
      <w:r>
        <w:t xml:space="preserve"> </w:t>
      </w:r>
      <w:hyperlink r:id="rId21" w:history="1">
        <w:r w:rsidR="00C76014">
          <w:rPr>
            <w:color w:val="0000FF"/>
            <w:u w:val="single"/>
          </w:rPr>
          <w:t>Climate Toolkit 4 Business</w:t>
        </w:r>
      </w:hyperlink>
      <w:r>
        <w:t xml:space="preserve"> </w:t>
      </w:r>
    </w:p>
    <w:p w14:paraId="394A3047" w14:textId="047353BE" w:rsidR="007200BB" w:rsidRDefault="007200BB" w:rsidP="007200BB">
      <w:pPr>
        <w:pStyle w:val="ListParagraph"/>
        <w:spacing w:after="0"/>
        <w:ind w:left="-490" w:right="-850"/>
      </w:pPr>
      <w:r w:rsidRPr="00623431">
        <w:t xml:space="preserve">This Toolkit provides </w:t>
      </w:r>
      <w:r w:rsidR="00C63125">
        <w:t>companies</w:t>
      </w:r>
      <w:r w:rsidRPr="00623431">
        <w:t xml:space="preserve"> with practical ways to start taking action</w:t>
      </w:r>
      <w:r>
        <w:t xml:space="preserve"> and provides </w:t>
      </w:r>
      <w:r w:rsidRPr="00656C63">
        <w:t>links to relevant supports</w:t>
      </w:r>
      <w:r>
        <w:t xml:space="preserve"> from EI, SEAI, Skillnet and Irish Water etc </w:t>
      </w:r>
    </w:p>
    <w:p w14:paraId="6E2AECCE" w14:textId="77777777" w:rsidR="007200BB" w:rsidRPr="00C062E9" w:rsidRDefault="007200BB" w:rsidP="007200BB">
      <w:pPr>
        <w:pStyle w:val="ListParagraph"/>
        <w:numPr>
          <w:ilvl w:val="0"/>
          <w:numId w:val="3"/>
        </w:numPr>
        <w:spacing w:after="0"/>
        <w:ind w:right="-850"/>
      </w:pPr>
      <w:r>
        <w:t xml:space="preserve">Avail of energy training on </w:t>
      </w:r>
      <w:hyperlink r:id="rId22" w:history="1">
        <w:r w:rsidRPr="00C93599">
          <w:rPr>
            <w:color w:val="0000FF"/>
            <w:u w:val="single"/>
          </w:rPr>
          <w:t>SEAI Energy Academy</w:t>
        </w:r>
      </w:hyperlink>
      <w:r>
        <w:rPr>
          <w:color w:val="0000FF"/>
          <w:u w:val="single"/>
        </w:rPr>
        <w:t xml:space="preserve"> </w:t>
      </w:r>
    </w:p>
    <w:p w14:paraId="7FCB92F1" w14:textId="49AA67D6" w:rsidR="007200BB" w:rsidRDefault="007200BB" w:rsidP="007200BB">
      <w:pPr>
        <w:pStyle w:val="ListParagraph"/>
        <w:numPr>
          <w:ilvl w:val="0"/>
          <w:numId w:val="3"/>
        </w:numPr>
        <w:spacing w:after="0"/>
        <w:ind w:right="-850"/>
      </w:pPr>
      <w:r w:rsidRPr="00C062E9">
        <w:t xml:space="preserve">Carry out an energy audit </w:t>
      </w:r>
      <w:r w:rsidR="00D516E8">
        <w:t xml:space="preserve">- </w:t>
      </w:r>
      <w:r>
        <w:t xml:space="preserve">SMEs with an energy spend &gt;€10,000/annum that are not already mandated to get an audit are eligible for €2000 voucher towards an </w:t>
      </w:r>
      <w:hyperlink r:id="rId23" w:history="1">
        <w:r w:rsidRPr="00C93599">
          <w:rPr>
            <w:color w:val="0000FF"/>
            <w:u w:val="single"/>
          </w:rPr>
          <w:t>SEAI Energy Audit</w:t>
        </w:r>
      </w:hyperlink>
      <w:r>
        <w:t xml:space="preserve"> </w:t>
      </w:r>
    </w:p>
    <w:p w14:paraId="18689C65" w14:textId="46418F76" w:rsidR="00E07A09" w:rsidRDefault="00C63125" w:rsidP="00E07A09">
      <w:pPr>
        <w:pStyle w:val="ListParagraph"/>
        <w:numPr>
          <w:ilvl w:val="0"/>
          <w:numId w:val="3"/>
        </w:numPr>
        <w:spacing w:after="0"/>
        <w:ind w:right="-850"/>
      </w:pPr>
      <w:r>
        <w:t xml:space="preserve">Avail of </w:t>
      </w:r>
      <w:hyperlink r:id="rId24" w:history="1">
        <w:r w:rsidR="0012387F">
          <w:rPr>
            <w:color w:val="0000FF"/>
            <w:u w:val="single"/>
          </w:rPr>
          <w:t>GreenStart</w:t>
        </w:r>
      </w:hyperlink>
      <w:r w:rsidR="0012387F">
        <w:t xml:space="preserve"> </w:t>
      </w:r>
      <w:r>
        <w:t xml:space="preserve">to develop </w:t>
      </w:r>
      <w:r w:rsidR="00E62FB7">
        <w:t>an</w:t>
      </w:r>
      <w:r>
        <w:t xml:space="preserve"> </w:t>
      </w:r>
      <w:r w:rsidRPr="00C63125">
        <w:t>Organisational Carbon Reduction Roadmap</w:t>
      </w:r>
      <w:bookmarkStart w:id="4" w:name="_Hlk106613677"/>
    </w:p>
    <w:p w14:paraId="3F3957E4" w14:textId="77777777" w:rsidR="00E07A09" w:rsidRDefault="00E07A09" w:rsidP="00E07A09">
      <w:pPr>
        <w:spacing w:after="0"/>
        <w:ind w:left="-850" w:right="-850"/>
        <w:rPr>
          <w:rStyle w:val="Heading1Char"/>
          <w:rFonts w:asciiTheme="minorHAnsi" w:eastAsiaTheme="minorHAnsi" w:hAnsiTheme="minorHAnsi" w:cstheme="minorBidi"/>
          <w:color w:val="auto"/>
          <w:sz w:val="22"/>
          <w:szCs w:val="22"/>
        </w:rPr>
      </w:pPr>
    </w:p>
    <w:p w14:paraId="4F2947E3" w14:textId="1F518A85" w:rsidR="001C4C04" w:rsidRDefault="00E07A09" w:rsidP="00E07A09">
      <w:pPr>
        <w:spacing w:after="0"/>
        <w:ind w:left="-850" w:right="-850"/>
        <w:rPr>
          <w:rStyle w:val="Heading1Char"/>
        </w:rPr>
      </w:pPr>
      <w:r>
        <w:rPr>
          <w:rStyle w:val="Heading1Char"/>
        </w:rPr>
        <w:t>6</w:t>
      </w:r>
      <w:r w:rsidRPr="009B64EB">
        <w:tab/>
      </w:r>
      <w:r w:rsidR="009A00C0">
        <w:rPr>
          <w:rStyle w:val="Heading1Char"/>
        </w:rPr>
        <w:t>Ineligible Activities</w:t>
      </w:r>
      <w:r w:rsidR="00CD0EAE">
        <w:rPr>
          <w:rStyle w:val="Heading1Char"/>
        </w:rPr>
        <w:t xml:space="preserve"> / Costs</w:t>
      </w:r>
    </w:p>
    <w:bookmarkEnd w:id="4"/>
    <w:p w14:paraId="07AD7A19" w14:textId="77777777" w:rsidR="001C4C04" w:rsidRPr="00F25E74" w:rsidRDefault="001C4C04" w:rsidP="001C4C04">
      <w:pPr>
        <w:pStyle w:val="ListParagraph"/>
        <w:spacing w:after="0"/>
        <w:ind w:left="-490" w:right="-850"/>
        <w:rPr>
          <w:rStyle w:val="Heading1Char"/>
          <w:rFonts w:asciiTheme="minorHAnsi" w:hAnsiTheme="minorHAnsi" w:cstheme="minorHAnsi"/>
          <w:sz w:val="24"/>
          <w:szCs w:val="24"/>
        </w:rPr>
      </w:pPr>
    </w:p>
    <w:p w14:paraId="49DE42B9" w14:textId="77777777" w:rsidR="001C4C04" w:rsidRPr="00FA58C3" w:rsidRDefault="001C4C04" w:rsidP="00C63125">
      <w:pPr>
        <w:pStyle w:val="ListParagraph"/>
        <w:numPr>
          <w:ilvl w:val="0"/>
          <w:numId w:val="8"/>
        </w:numPr>
        <w:spacing w:after="0"/>
        <w:ind w:right="-850"/>
        <w:rPr>
          <w:rFonts w:asciiTheme="majorHAnsi" w:eastAsiaTheme="majorEastAsia" w:hAnsiTheme="majorHAnsi" w:cstheme="majorBidi"/>
          <w:color w:val="2F5496" w:themeColor="accent1" w:themeShade="BF"/>
        </w:rPr>
      </w:pPr>
      <w:r w:rsidRPr="00FA58C3">
        <w:rPr>
          <w:rFonts w:eastAsia="Times New Roman"/>
          <w:lang w:eastAsia="en-IE"/>
        </w:rPr>
        <w:t>Consultants engaged as an integral component of a training or R&amp;D project. (There are other specific programmes available in these instances)</w:t>
      </w:r>
      <w:r w:rsidRPr="00FA58C3">
        <w:rPr>
          <w:rFonts w:eastAsia="Times New Roman"/>
          <w:lang w:val="en-GB" w:eastAsia="en-IE"/>
        </w:rPr>
        <w:t> </w:t>
      </w:r>
    </w:p>
    <w:p w14:paraId="066D6118" w14:textId="77777777" w:rsidR="001C4C04" w:rsidRPr="00FA58C3" w:rsidRDefault="001C4C04" w:rsidP="00C63125">
      <w:pPr>
        <w:pStyle w:val="ListParagraph"/>
        <w:numPr>
          <w:ilvl w:val="0"/>
          <w:numId w:val="8"/>
        </w:numPr>
        <w:spacing w:after="0"/>
        <w:ind w:right="-850"/>
        <w:rPr>
          <w:rFonts w:asciiTheme="majorHAnsi" w:eastAsiaTheme="majorEastAsia" w:hAnsiTheme="majorHAnsi" w:cstheme="majorBidi"/>
          <w:color w:val="2F5496" w:themeColor="accent1" w:themeShade="BF"/>
        </w:rPr>
      </w:pPr>
      <w:r w:rsidRPr="00FA58C3">
        <w:rPr>
          <w:rFonts w:eastAsia="Times New Roman"/>
          <w:lang w:eastAsia="en-IE"/>
        </w:rPr>
        <w:t>The costs of consultants hired for continuous or routine consultancy activities such as legal, financial, market research and PR</w:t>
      </w:r>
    </w:p>
    <w:p w14:paraId="0E3E0086" w14:textId="0F2C0A90" w:rsidR="001C4C04" w:rsidRPr="00FA58C3" w:rsidRDefault="001C4C04" w:rsidP="00C63125">
      <w:pPr>
        <w:pStyle w:val="ListParagraph"/>
        <w:numPr>
          <w:ilvl w:val="0"/>
          <w:numId w:val="8"/>
        </w:numPr>
        <w:spacing w:after="0"/>
        <w:ind w:right="-850"/>
        <w:rPr>
          <w:rFonts w:asciiTheme="majorHAnsi" w:eastAsiaTheme="majorEastAsia" w:hAnsiTheme="majorHAnsi" w:cstheme="majorBidi"/>
          <w:color w:val="2F5496" w:themeColor="accent1" w:themeShade="BF"/>
        </w:rPr>
      </w:pPr>
      <w:r w:rsidRPr="00FA58C3">
        <w:rPr>
          <w:rFonts w:eastAsia="Times New Roman"/>
          <w:lang w:val="en-GB" w:eastAsia="en-IE"/>
        </w:rPr>
        <w:t xml:space="preserve">Energy audits mandated under the European Energy Efficiency Directive </w:t>
      </w:r>
      <w:r w:rsidR="0042428C">
        <w:rPr>
          <w:rFonts w:eastAsia="Times New Roman"/>
          <w:lang w:val="en-GB" w:eastAsia="en-IE"/>
        </w:rPr>
        <w:t xml:space="preserve">and </w:t>
      </w:r>
      <w:r w:rsidR="006B22BC" w:rsidRPr="006B22BC">
        <w:rPr>
          <w:rFonts w:eastAsia="Times New Roman"/>
          <w:lang w:val="en-GB" w:eastAsia="en-IE"/>
        </w:rPr>
        <w:t>transposed into Irish legislation in SI 426 of 2014 and amended by SI 626 of 2016 and SI 599 of 2019.</w:t>
      </w:r>
    </w:p>
    <w:p w14:paraId="5C0A1F95" w14:textId="2C4C9BC9" w:rsidR="001C4C04" w:rsidRPr="00FA58C3" w:rsidRDefault="001C4C04" w:rsidP="00446E1F">
      <w:pPr>
        <w:pStyle w:val="ListParagraph"/>
        <w:numPr>
          <w:ilvl w:val="0"/>
          <w:numId w:val="8"/>
        </w:numPr>
        <w:spacing w:after="0"/>
        <w:ind w:right="-850"/>
        <w:rPr>
          <w:rFonts w:asciiTheme="majorHAnsi" w:eastAsiaTheme="majorEastAsia" w:hAnsiTheme="majorHAnsi" w:cstheme="majorBidi"/>
          <w:color w:val="2F5496" w:themeColor="accent1" w:themeShade="BF"/>
        </w:rPr>
      </w:pPr>
      <w:r w:rsidRPr="00FA58C3">
        <w:rPr>
          <w:rFonts w:eastAsia="Times New Roman"/>
          <w:lang w:eastAsia="en-IE"/>
        </w:rPr>
        <w:t>Subsidising a client's regular operating expenses.</w:t>
      </w:r>
      <w:r w:rsidRPr="00FA58C3">
        <w:rPr>
          <w:rFonts w:eastAsia="Times New Roman"/>
          <w:lang w:val="en-GB" w:eastAsia="en-IE"/>
        </w:rPr>
        <w:t> </w:t>
      </w:r>
    </w:p>
    <w:p w14:paraId="48431AE1" w14:textId="77777777" w:rsidR="000451B9" w:rsidRDefault="000451B9" w:rsidP="000451B9">
      <w:pPr>
        <w:spacing w:after="0"/>
        <w:ind w:right="-850"/>
        <w:rPr>
          <w:rFonts w:asciiTheme="majorHAnsi" w:eastAsiaTheme="majorEastAsia" w:hAnsiTheme="majorHAnsi" w:cstheme="majorBidi"/>
          <w:color w:val="2F5496" w:themeColor="accent1" w:themeShade="BF"/>
          <w:sz w:val="32"/>
          <w:szCs w:val="32"/>
        </w:rPr>
      </w:pPr>
    </w:p>
    <w:p w14:paraId="5F01D6AB" w14:textId="77777777" w:rsidR="000451B9" w:rsidRDefault="000451B9" w:rsidP="000451B9">
      <w:pPr>
        <w:spacing w:after="0"/>
        <w:ind w:right="-850"/>
        <w:rPr>
          <w:rFonts w:asciiTheme="majorHAnsi" w:eastAsiaTheme="majorEastAsia" w:hAnsiTheme="majorHAnsi" w:cstheme="majorBidi"/>
          <w:color w:val="2F5496" w:themeColor="accent1" w:themeShade="BF"/>
          <w:sz w:val="32"/>
          <w:szCs w:val="32"/>
        </w:rPr>
      </w:pPr>
    </w:p>
    <w:p w14:paraId="5E70148F" w14:textId="77777777" w:rsidR="00E07A09" w:rsidRDefault="00E07A09" w:rsidP="000451B9">
      <w:pPr>
        <w:spacing w:after="0"/>
        <w:ind w:right="-850"/>
        <w:rPr>
          <w:rFonts w:asciiTheme="majorHAnsi" w:eastAsiaTheme="majorEastAsia" w:hAnsiTheme="majorHAnsi" w:cstheme="majorBidi"/>
          <w:color w:val="2F5496" w:themeColor="accent1" w:themeShade="BF"/>
          <w:sz w:val="32"/>
          <w:szCs w:val="32"/>
        </w:rPr>
      </w:pPr>
    </w:p>
    <w:p w14:paraId="4B76CB34" w14:textId="77777777" w:rsidR="000451B9" w:rsidRDefault="000451B9" w:rsidP="000451B9">
      <w:pPr>
        <w:spacing w:after="0"/>
        <w:ind w:right="-850"/>
        <w:rPr>
          <w:rFonts w:asciiTheme="majorHAnsi" w:eastAsiaTheme="majorEastAsia" w:hAnsiTheme="majorHAnsi" w:cstheme="majorBidi"/>
          <w:color w:val="2F5496" w:themeColor="accent1" w:themeShade="BF"/>
          <w:sz w:val="32"/>
          <w:szCs w:val="32"/>
        </w:rPr>
      </w:pPr>
    </w:p>
    <w:p w14:paraId="32F9F636" w14:textId="77777777" w:rsidR="00FA58C3" w:rsidRDefault="00FA58C3" w:rsidP="000451B9">
      <w:pPr>
        <w:spacing w:after="0"/>
        <w:ind w:right="-850"/>
        <w:rPr>
          <w:rFonts w:asciiTheme="majorHAnsi" w:eastAsiaTheme="majorEastAsia" w:hAnsiTheme="majorHAnsi" w:cstheme="majorBidi"/>
          <w:color w:val="2F5496" w:themeColor="accent1" w:themeShade="BF"/>
          <w:sz w:val="32"/>
          <w:szCs w:val="32"/>
        </w:rPr>
      </w:pPr>
    </w:p>
    <w:p w14:paraId="2F0C617A" w14:textId="77777777" w:rsidR="00FA58C3" w:rsidRPr="000451B9" w:rsidRDefault="00FA58C3" w:rsidP="000451B9">
      <w:pPr>
        <w:spacing w:after="0"/>
        <w:ind w:right="-850"/>
        <w:rPr>
          <w:rFonts w:asciiTheme="majorHAnsi" w:eastAsiaTheme="majorEastAsia" w:hAnsiTheme="majorHAnsi" w:cstheme="majorBidi"/>
          <w:color w:val="2F5496" w:themeColor="accent1" w:themeShade="BF"/>
          <w:sz w:val="32"/>
          <w:szCs w:val="32"/>
        </w:rPr>
      </w:pPr>
    </w:p>
    <w:p w14:paraId="7B134B2F" w14:textId="77777777" w:rsidR="00A7080A" w:rsidRPr="007542AD" w:rsidRDefault="00E07A09" w:rsidP="00A7080A">
      <w:pPr>
        <w:pStyle w:val="Heading1"/>
        <w:ind w:left="-850"/>
        <w:rPr>
          <w:lang w:val="en-GB"/>
        </w:rPr>
      </w:pPr>
      <w:r>
        <w:rPr>
          <w:rStyle w:val="Heading1Char"/>
        </w:rPr>
        <w:t>7</w:t>
      </w:r>
      <w:r w:rsidRPr="009B64EB">
        <w:tab/>
      </w:r>
      <w:bookmarkStart w:id="5" w:name="_Toc112072889"/>
      <w:r w:rsidR="00A7080A">
        <w:t xml:space="preserve">Environmental Legislation </w:t>
      </w:r>
      <w:r w:rsidR="00A7080A">
        <w:rPr>
          <w:lang w:val="en-GB"/>
        </w:rPr>
        <w:t xml:space="preserve">&amp; </w:t>
      </w:r>
      <w:r w:rsidR="00A7080A" w:rsidRPr="00030936">
        <w:rPr>
          <w:lang w:val="en-GB"/>
        </w:rPr>
        <w:t xml:space="preserve">Do </w:t>
      </w:r>
      <w:r w:rsidR="00A7080A">
        <w:rPr>
          <w:lang w:val="en-GB"/>
        </w:rPr>
        <w:t>N</w:t>
      </w:r>
      <w:r w:rsidR="00A7080A" w:rsidRPr="00030936">
        <w:rPr>
          <w:lang w:val="en-GB"/>
        </w:rPr>
        <w:t xml:space="preserve">o </w:t>
      </w:r>
      <w:r w:rsidR="00A7080A">
        <w:rPr>
          <w:lang w:val="en-GB"/>
        </w:rPr>
        <w:t>S</w:t>
      </w:r>
      <w:r w:rsidR="00A7080A" w:rsidRPr="00030936">
        <w:rPr>
          <w:lang w:val="en-GB"/>
        </w:rPr>
        <w:t xml:space="preserve">ignificant </w:t>
      </w:r>
      <w:r w:rsidR="00A7080A">
        <w:rPr>
          <w:lang w:val="en-GB"/>
        </w:rPr>
        <w:t>H</w:t>
      </w:r>
      <w:r w:rsidR="00A7080A" w:rsidRPr="00030936">
        <w:rPr>
          <w:lang w:val="en-GB"/>
        </w:rPr>
        <w:t>arm</w:t>
      </w:r>
      <w:r w:rsidR="00A7080A">
        <w:rPr>
          <w:lang w:val="en-GB"/>
        </w:rPr>
        <w:t xml:space="preserve"> Compliance</w:t>
      </w:r>
      <w:bookmarkEnd w:id="5"/>
    </w:p>
    <w:p w14:paraId="2E383D8A" w14:textId="77777777" w:rsidR="00A7080A" w:rsidRDefault="00A7080A" w:rsidP="00A7080A">
      <w:pPr>
        <w:spacing w:after="0" w:line="240" w:lineRule="auto"/>
        <w:ind w:left="-850" w:right="-850"/>
        <w:jc w:val="both"/>
        <w:textAlignment w:val="baseline"/>
        <w:rPr>
          <w:rFonts w:eastAsia="Arial MT" w:cstheme="minorHAnsi"/>
          <w:color w:val="000000" w:themeColor="text1"/>
        </w:rPr>
      </w:pPr>
    </w:p>
    <w:p w14:paraId="3E9DAD87" w14:textId="29A83A94" w:rsidR="00A7080A" w:rsidRPr="001E6315" w:rsidRDefault="00A7080A" w:rsidP="00A7080A">
      <w:pPr>
        <w:pStyle w:val="ListParagraph"/>
        <w:spacing w:after="0" w:line="240" w:lineRule="auto"/>
        <w:ind w:left="0" w:right="-850" w:hanging="850"/>
        <w:jc w:val="both"/>
        <w:textAlignment w:val="baseline"/>
        <w:rPr>
          <w:rFonts w:eastAsia="Arial MT" w:cstheme="minorHAnsi"/>
          <w:color w:val="000000" w:themeColor="text1"/>
        </w:rPr>
      </w:pPr>
      <w:r>
        <w:rPr>
          <w:rFonts w:eastAsia="Arial MT" w:cstheme="minorHAnsi"/>
          <w:color w:val="000000" w:themeColor="text1"/>
        </w:rPr>
        <w:t>7.1</w:t>
      </w:r>
      <w:r>
        <w:rPr>
          <w:rFonts w:eastAsia="Arial MT" w:cstheme="minorHAnsi"/>
          <w:color w:val="000000" w:themeColor="text1"/>
        </w:rPr>
        <w:tab/>
      </w:r>
      <w:r w:rsidRPr="001E6315">
        <w:rPr>
          <w:rFonts w:eastAsia="Arial MT" w:cstheme="minorHAnsi"/>
          <w:color w:val="000000" w:themeColor="text1"/>
        </w:rPr>
        <w:t>All projects supported under the Green Transition fund</w:t>
      </w:r>
      <w:r w:rsidRPr="00375229">
        <w:t xml:space="preserve"> </w:t>
      </w:r>
      <w:r>
        <w:t xml:space="preserve">and the </w:t>
      </w:r>
      <w:r w:rsidRPr="00375229">
        <w:rPr>
          <w:rFonts w:eastAsia="Arial MT" w:cstheme="minorHAnsi"/>
          <w:color w:val="000000" w:themeColor="text1"/>
        </w:rPr>
        <w:t>EU’s Recovery and Resilience Facility (RRF)</w:t>
      </w:r>
      <w:r w:rsidRPr="001E6315">
        <w:rPr>
          <w:rFonts w:eastAsia="Arial MT" w:cstheme="minorHAnsi"/>
          <w:color w:val="000000" w:themeColor="text1"/>
        </w:rPr>
        <w:t xml:space="preserve"> must comply with relevant EU and national environmental legislation and in particular with the ‘Do no significant harm’ Technical Guidance (2021/C58/01).</w:t>
      </w:r>
    </w:p>
    <w:p w14:paraId="4216D814" w14:textId="77777777" w:rsidR="00A7080A" w:rsidRPr="00313872" w:rsidRDefault="00A7080A" w:rsidP="00A7080A">
      <w:pPr>
        <w:spacing w:after="0" w:line="240" w:lineRule="auto"/>
        <w:ind w:left="-850" w:right="-850"/>
        <w:jc w:val="both"/>
        <w:textAlignment w:val="baseline"/>
        <w:rPr>
          <w:rFonts w:eastAsia="Arial MT" w:cstheme="minorHAnsi"/>
          <w:color w:val="000000" w:themeColor="text1"/>
        </w:rPr>
      </w:pPr>
    </w:p>
    <w:p w14:paraId="016C4E69" w14:textId="77777777" w:rsidR="00A7080A" w:rsidRPr="00313872" w:rsidRDefault="00A7080A" w:rsidP="00A7080A">
      <w:pPr>
        <w:spacing w:after="0" w:line="240" w:lineRule="auto"/>
        <w:ind w:left="-850" w:right="-850"/>
        <w:jc w:val="both"/>
        <w:textAlignment w:val="baseline"/>
        <w:rPr>
          <w:rFonts w:eastAsia="Arial MT" w:cstheme="minorHAnsi"/>
          <w:color w:val="000000" w:themeColor="text1"/>
        </w:rPr>
      </w:pPr>
      <w:r w:rsidRPr="00313872">
        <w:rPr>
          <w:rFonts w:eastAsia="Arial MT" w:cstheme="minorHAnsi"/>
          <w:color w:val="000000" w:themeColor="text1"/>
        </w:rPr>
        <w:t>Specifically the following projects are not eligible:</w:t>
      </w:r>
    </w:p>
    <w:p w14:paraId="3308CF23" w14:textId="77777777" w:rsidR="00A7080A" w:rsidRPr="00313872" w:rsidRDefault="00A7080A" w:rsidP="00A7080A">
      <w:pPr>
        <w:spacing w:after="0" w:line="240" w:lineRule="auto"/>
        <w:ind w:left="-850" w:right="-850"/>
        <w:jc w:val="both"/>
        <w:textAlignment w:val="baseline"/>
        <w:rPr>
          <w:rFonts w:eastAsia="Arial MT" w:cstheme="minorHAnsi"/>
          <w:color w:val="000000" w:themeColor="text1"/>
        </w:rPr>
      </w:pPr>
    </w:p>
    <w:p w14:paraId="73FF4602" w14:textId="77777777" w:rsidR="00A7080A" w:rsidRPr="00313872" w:rsidRDefault="00A7080A" w:rsidP="00A7080A">
      <w:pPr>
        <w:pStyle w:val="ListParagraph"/>
        <w:numPr>
          <w:ilvl w:val="0"/>
          <w:numId w:val="14"/>
        </w:numPr>
        <w:spacing w:after="0" w:line="240" w:lineRule="auto"/>
        <w:ind w:right="-850"/>
        <w:jc w:val="both"/>
        <w:textAlignment w:val="baseline"/>
        <w:rPr>
          <w:rFonts w:eastAsia="Arial MT" w:cstheme="minorHAnsi"/>
          <w:color w:val="000000" w:themeColor="text1"/>
        </w:rPr>
      </w:pPr>
      <w:r w:rsidRPr="00313872">
        <w:rPr>
          <w:rFonts w:eastAsia="Arial MT" w:cstheme="minorHAnsi"/>
          <w:color w:val="000000" w:themeColor="text1"/>
        </w:rPr>
        <w:t>activities related to fossil fuels, including downstream use</w:t>
      </w:r>
      <w:r>
        <w:rPr>
          <w:rStyle w:val="FootnoteReference"/>
          <w:rFonts w:eastAsia="Arial MT" w:cstheme="minorHAnsi"/>
          <w:color w:val="000000" w:themeColor="text1"/>
        </w:rPr>
        <w:footnoteReference w:id="2"/>
      </w:r>
    </w:p>
    <w:p w14:paraId="232DAD55" w14:textId="77777777" w:rsidR="00A7080A" w:rsidRPr="00313872" w:rsidRDefault="00A7080A" w:rsidP="00A7080A">
      <w:pPr>
        <w:pStyle w:val="ListParagraph"/>
        <w:numPr>
          <w:ilvl w:val="0"/>
          <w:numId w:val="14"/>
        </w:numPr>
        <w:spacing w:after="0" w:line="240" w:lineRule="auto"/>
        <w:ind w:right="-850"/>
        <w:jc w:val="both"/>
        <w:textAlignment w:val="baseline"/>
        <w:rPr>
          <w:rFonts w:eastAsia="Arial MT" w:cstheme="minorHAnsi"/>
          <w:color w:val="000000" w:themeColor="text1"/>
        </w:rPr>
      </w:pPr>
      <w:r w:rsidRPr="00313872">
        <w:rPr>
          <w:rFonts w:eastAsia="Arial MT" w:cstheme="minorHAnsi"/>
          <w:color w:val="000000" w:themeColor="text1"/>
        </w:rPr>
        <w:t>activities under the EU Emission Trading System (ETS) achieving projected greenhouse gas emissions that are not lower than the relevant benchmarks</w:t>
      </w:r>
      <w:r>
        <w:rPr>
          <w:rStyle w:val="FootnoteReference"/>
          <w:rFonts w:eastAsia="Arial MT" w:cstheme="minorHAnsi"/>
          <w:color w:val="000000" w:themeColor="text1"/>
        </w:rPr>
        <w:footnoteReference w:id="3"/>
      </w:r>
      <w:r w:rsidRPr="00313872">
        <w:rPr>
          <w:rFonts w:eastAsia="Arial MT" w:cstheme="minorHAnsi"/>
          <w:color w:val="000000" w:themeColor="text1"/>
        </w:rPr>
        <w:t>;</w:t>
      </w:r>
    </w:p>
    <w:p w14:paraId="2A5F55A5" w14:textId="77777777" w:rsidR="00A7080A" w:rsidRPr="00313872" w:rsidRDefault="00A7080A" w:rsidP="00A7080A">
      <w:pPr>
        <w:pStyle w:val="ListParagraph"/>
        <w:numPr>
          <w:ilvl w:val="0"/>
          <w:numId w:val="14"/>
        </w:numPr>
        <w:spacing w:after="0" w:line="240" w:lineRule="auto"/>
        <w:ind w:right="-850"/>
        <w:jc w:val="both"/>
        <w:textAlignment w:val="baseline"/>
        <w:rPr>
          <w:rFonts w:eastAsia="Arial MT" w:cstheme="minorHAnsi"/>
          <w:color w:val="000000" w:themeColor="text1"/>
        </w:rPr>
      </w:pPr>
      <w:r w:rsidRPr="00313872">
        <w:rPr>
          <w:rFonts w:eastAsia="Arial MT" w:cstheme="minorHAnsi"/>
          <w:color w:val="000000" w:themeColor="text1"/>
        </w:rPr>
        <w:t>activities related to waste landfills, incinerators</w:t>
      </w:r>
      <w:r>
        <w:rPr>
          <w:rStyle w:val="FootnoteReference"/>
          <w:rFonts w:eastAsia="Arial MT" w:cstheme="minorHAnsi"/>
          <w:color w:val="000000" w:themeColor="text1"/>
        </w:rPr>
        <w:footnoteReference w:id="4"/>
      </w:r>
      <w:r w:rsidRPr="00313872">
        <w:rPr>
          <w:rFonts w:eastAsia="Arial MT" w:cstheme="minorHAnsi"/>
          <w:color w:val="000000" w:themeColor="text1"/>
        </w:rPr>
        <w:t xml:space="preserve"> and mechanical biological treatment plants</w:t>
      </w:r>
      <w:r>
        <w:rPr>
          <w:rStyle w:val="FootnoteReference"/>
          <w:rFonts w:eastAsia="Arial MT" w:cstheme="minorHAnsi"/>
          <w:color w:val="000000" w:themeColor="text1"/>
        </w:rPr>
        <w:footnoteReference w:id="5"/>
      </w:r>
      <w:r w:rsidRPr="00313872">
        <w:rPr>
          <w:rFonts w:eastAsia="Arial MT" w:cstheme="minorHAnsi"/>
          <w:color w:val="000000" w:themeColor="text1"/>
        </w:rPr>
        <w:t>; and</w:t>
      </w:r>
    </w:p>
    <w:p w14:paraId="26656486" w14:textId="77777777" w:rsidR="00A7080A" w:rsidRDefault="00A7080A" w:rsidP="00A7080A">
      <w:pPr>
        <w:pStyle w:val="ListParagraph"/>
        <w:numPr>
          <w:ilvl w:val="0"/>
          <w:numId w:val="14"/>
        </w:numPr>
        <w:spacing w:after="0" w:line="240" w:lineRule="auto"/>
        <w:ind w:right="-850"/>
        <w:jc w:val="both"/>
        <w:textAlignment w:val="baseline"/>
        <w:rPr>
          <w:rFonts w:eastAsia="Arial MT" w:cstheme="minorHAnsi"/>
          <w:color w:val="000000" w:themeColor="text1"/>
        </w:rPr>
      </w:pPr>
      <w:r w:rsidRPr="00313872">
        <w:rPr>
          <w:rFonts w:eastAsia="Arial MT" w:cstheme="minorHAnsi"/>
          <w:color w:val="000000" w:themeColor="text1"/>
        </w:rPr>
        <w:t>activities where the long-term disposal of waste may cause harm to the environment</w:t>
      </w:r>
      <w:r>
        <w:rPr>
          <w:rFonts w:eastAsia="Arial MT" w:cstheme="minorHAnsi"/>
          <w:color w:val="000000" w:themeColor="text1"/>
        </w:rPr>
        <w:t>.</w:t>
      </w:r>
    </w:p>
    <w:p w14:paraId="1ACE2A65" w14:textId="77777777" w:rsidR="00A7080A" w:rsidRDefault="00A7080A" w:rsidP="00A7080A">
      <w:pPr>
        <w:pStyle w:val="ListParagraph"/>
        <w:spacing w:after="0" w:line="240" w:lineRule="auto"/>
        <w:ind w:left="-130" w:right="-850"/>
        <w:jc w:val="both"/>
        <w:textAlignment w:val="baseline"/>
        <w:rPr>
          <w:rFonts w:eastAsia="Arial MT" w:cstheme="minorHAnsi"/>
          <w:color w:val="000000" w:themeColor="text1"/>
        </w:rPr>
      </w:pPr>
    </w:p>
    <w:p w14:paraId="723D23A1" w14:textId="77777777" w:rsidR="00A7080A" w:rsidRDefault="00A7080A" w:rsidP="00A7080A">
      <w:pPr>
        <w:spacing w:after="0" w:line="240" w:lineRule="auto"/>
        <w:ind w:left="-850" w:right="-850"/>
        <w:jc w:val="both"/>
        <w:textAlignment w:val="baseline"/>
        <w:rPr>
          <w:rFonts w:eastAsia="Arial MT" w:cstheme="minorHAnsi"/>
          <w:color w:val="000000" w:themeColor="text1"/>
        </w:rPr>
      </w:pPr>
      <w:r w:rsidRPr="00B76A58">
        <w:rPr>
          <w:rFonts w:eastAsia="Arial MT" w:cstheme="minorHAnsi"/>
          <w:color w:val="000000" w:themeColor="text1"/>
        </w:rPr>
        <w:t>Applicants are required to confirm compliance with relevant EU and National environmental legislations and the ineligible projects listed above</w:t>
      </w:r>
      <w:r>
        <w:rPr>
          <w:rFonts w:eastAsia="Arial MT" w:cstheme="minorHAnsi"/>
          <w:color w:val="000000" w:themeColor="text1"/>
        </w:rPr>
        <w:t>.</w:t>
      </w:r>
    </w:p>
    <w:p w14:paraId="47E535D5" w14:textId="77777777" w:rsidR="00A7080A" w:rsidRDefault="00A7080A" w:rsidP="00A7080A">
      <w:pPr>
        <w:spacing w:after="0" w:line="240" w:lineRule="auto"/>
        <w:ind w:left="-850" w:right="-850"/>
        <w:jc w:val="both"/>
        <w:textAlignment w:val="baseline"/>
        <w:rPr>
          <w:rFonts w:eastAsia="Arial MT" w:cstheme="minorHAnsi"/>
          <w:color w:val="000000" w:themeColor="text1"/>
        </w:rPr>
      </w:pPr>
    </w:p>
    <w:p w14:paraId="53F697CD" w14:textId="77777777" w:rsidR="00A7080A" w:rsidRDefault="00A7080A" w:rsidP="00A7080A">
      <w:pPr>
        <w:spacing w:after="0" w:line="240" w:lineRule="auto"/>
        <w:ind w:left="-850" w:right="-850"/>
        <w:jc w:val="both"/>
        <w:textAlignment w:val="baseline"/>
        <w:rPr>
          <w:rFonts w:eastAsia="Arial MT" w:cstheme="minorHAnsi"/>
          <w:color w:val="000000" w:themeColor="text1"/>
        </w:rPr>
      </w:pPr>
    </w:p>
    <w:p w14:paraId="5B494C15" w14:textId="77777777" w:rsidR="00A7080A" w:rsidRDefault="00A7080A" w:rsidP="00A7080A">
      <w:pPr>
        <w:spacing w:after="0" w:line="240" w:lineRule="auto"/>
        <w:ind w:left="-850" w:right="-850"/>
        <w:jc w:val="both"/>
        <w:textAlignment w:val="baseline"/>
        <w:rPr>
          <w:rFonts w:eastAsia="Arial MT" w:cstheme="minorHAnsi"/>
          <w:color w:val="000000" w:themeColor="text1"/>
        </w:rPr>
      </w:pPr>
    </w:p>
    <w:p w14:paraId="4DEF9693" w14:textId="77777777" w:rsidR="00A7080A" w:rsidRDefault="00A7080A" w:rsidP="00A7080A">
      <w:pPr>
        <w:spacing w:after="0" w:line="240" w:lineRule="auto"/>
        <w:ind w:left="-850" w:right="-850"/>
        <w:jc w:val="both"/>
        <w:textAlignment w:val="baseline"/>
        <w:rPr>
          <w:rFonts w:eastAsia="Arial MT" w:cstheme="minorHAnsi"/>
          <w:color w:val="000000" w:themeColor="text1"/>
        </w:rPr>
      </w:pPr>
    </w:p>
    <w:p w14:paraId="2283CDDE" w14:textId="77777777" w:rsidR="00A7080A" w:rsidRDefault="00A7080A" w:rsidP="00A7080A">
      <w:pPr>
        <w:spacing w:after="0" w:line="240" w:lineRule="auto"/>
        <w:ind w:left="-850" w:right="-850"/>
        <w:jc w:val="both"/>
        <w:textAlignment w:val="baseline"/>
        <w:rPr>
          <w:rFonts w:eastAsia="Arial MT" w:cstheme="minorHAnsi"/>
          <w:color w:val="000000" w:themeColor="text1"/>
        </w:rPr>
      </w:pPr>
    </w:p>
    <w:p w14:paraId="53543495" w14:textId="77777777" w:rsidR="00A7080A" w:rsidRDefault="00A7080A" w:rsidP="00A7080A">
      <w:pPr>
        <w:spacing w:after="0" w:line="240" w:lineRule="auto"/>
        <w:ind w:left="-850" w:right="-850"/>
        <w:jc w:val="both"/>
        <w:textAlignment w:val="baseline"/>
        <w:rPr>
          <w:rFonts w:eastAsia="Arial MT" w:cstheme="minorHAnsi"/>
          <w:color w:val="000000" w:themeColor="text1"/>
        </w:rPr>
      </w:pPr>
    </w:p>
    <w:p w14:paraId="2E8CC782" w14:textId="124AD2BA" w:rsidR="00A7080A" w:rsidRPr="00DA49AF" w:rsidRDefault="00A7080A" w:rsidP="00A7080A">
      <w:pPr>
        <w:spacing w:after="0" w:line="240" w:lineRule="auto"/>
        <w:ind w:left="-850" w:right="-850"/>
        <w:jc w:val="both"/>
        <w:textAlignment w:val="baseline"/>
        <w:rPr>
          <w:rFonts w:eastAsia="Arial MT" w:cstheme="minorHAnsi"/>
          <w:color w:val="000000" w:themeColor="text1"/>
        </w:rPr>
      </w:pPr>
      <w:r>
        <w:rPr>
          <w:rFonts w:eastAsia="Arial MT" w:cstheme="minorHAnsi"/>
          <w:color w:val="000000" w:themeColor="text1"/>
        </w:rPr>
        <w:t>7.2</w:t>
      </w:r>
      <w:r>
        <w:rPr>
          <w:rFonts w:eastAsia="Arial MT" w:cstheme="minorHAnsi"/>
          <w:color w:val="000000" w:themeColor="text1"/>
        </w:rPr>
        <w:tab/>
      </w:r>
      <w:r w:rsidRPr="00DA49AF">
        <w:rPr>
          <w:rFonts w:eastAsia="Arial MT" w:cstheme="minorHAnsi"/>
          <w:color w:val="000000" w:themeColor="text1"/>
        </w:rPr>
        <w:t>The EU’s Recovery and Resilience Facility (RRF) requires that no measure (i.e. no investment or reform) should lead to significant harm to any of the six environmental objectives set out under Article 17 of the EU Regulation on the framework for sustainable investment (‘Do No Significant Harm’)</w:t>
      </w:r>
      <w:r>
        <w:rPr>
          <w:rStyle w:val="FootnoteReference"/>
          <w:rFonts w:eastAsia="Arial MT" w:cstheme="minorHAnsi"/>
          <w:color w:val="000000" w:themeColor="text1"/>
        </w:rPr>
        <w:footnoteReference w:id="6"/>
      </w:r>
      <w:r w:rsidRPr="00DA49AF">
        <w:rPr>
          <w:rFonts w:eastAsia="Arial MT" w:cstheme="minorHAnsi"/>
          <w:color w:val="000000" w:themeColor="text1"/>
        </w:rPr>
        <w:t>. </w:t>
      </w:r>
    </w:p>
    <w:p w14:paraId="69CE8EFB" w14:textId="77777777" w:rsidR="00A7080A" w:rsidRPr="007E741C" w:rsidRDefault="00A7080A" w:rsidP="00A7080A">
      <w:pPr>
        <w:spacing w:after="0" w:line="240" w:lineRule="auto"/>
        <w:ind w:left="-850" w:right="-850"/>
        <w:jc w:val="both"/>
        <w:textAlignment w:val="baseline"/>
        <w:rPr>
          <w:rFonts w:eastAsia="Arial MT" w:cstheme="minorHAnsi"/>
          <w:color w:val="000000" w:themeColor="text1"/>
        </w:rPr>
      </w:pPr>
      <w:r w:rsidRPr="007E741C">
        <w:rPr>
          <w:rFonts w:eastAsia="Arial MT" w:cstheme="minorHAnsi"/>
          <w:color w:val="000000" w:themeColor="text1"/>
        </w:rPr>
        <w:t> </w:t>
      </w:r>
    </w:p>
    <w:p w14:paraId="34501B56" w14:textId="77777777" w:rsidR="00A7080A" w:rsidRPr="007E741C" w:rsidRDefault="00A7080A" w:rsidP="00A7080A">
      <w:pPr>
        <w:spacing w:after="0" w:line="240" w:lineRule="auto"/>
        <w:ind w:left="-850" w:right="-850"/>
        <w:jc w:val="both"/>
        <w:textAlignment w:val="baseline"/>
        <w:rPr>
          <w:rFonts w:eastAsia="Arial MT" w:cstheme="minorHAnsi"/>
          <w:color w:val="000000" w:themeColor="text1"/>
        </w:rPr>
      </w:pPr>
      <w:r w:rsidRPr="007E741C">
        <w:rPr>
          <w:rFonts w:eastAsia="Arial MT" w:cstheme="minorHAnsi"/>
          <w:color w:val="000000" w:themeColor="text1"/>
        </w:rPr>
        <w:t>Applicants are required to confirm that the supported project will comply with these requirements., i.e. that the project will do no significant harm (DNSH) to the environmental objectives under each of the six headings. These are set out in the table below, with a description of each objective provided.   A brief justification for compliance with the objectives is required</w:t>
      </w:r>
      <w:r>
        <w:rPr>
          <w:rFonts w:eastAsia="Arial MT" w:cstheme="minorHAnsi"/>
          <w:color w:val="000000" w:themeColor="text1"/>
        </w:rPr>
        <w:t xml:space="preserve"> in the application (sample text is given below).</w:t>
      </w:r>
    </w:p>
    <w:p w14:paraId="00357828" w14:textId="77777777" w:rsidR="00A7080A" w:rsidRPr="007E741C" w:rsidRDefault="00A7080A" w:rsidP="00A7080A">
      <w:pPr>
        <w:spacing w:after="0" w:line="240" w:lineRule="auto"/>
        <w:jc w:val="both"/>
        <w:rPr>
          <w:rFonts w:cstheme="minorHAnsi"/>
          <w:color w:val="000000" w:themeColor="text1"/>
          <w:lang w:val="en-GB"/>
        </w:rPr>
      </w:pPr>
    </w:p>
    <w:tbl>
      <w:tblPr>
        <w:tblStyle w:val="TableGrid1"/>
        <w:tblpPr w:leftFromText="180" w:rightFromText="180" w:vertAnchor="text" w:tblpY="1"/>
        <w:tblOverlap w:val="never"/>
        <w:tblW w:w="11766" w:type="dxa"/>
        <w:tblLayout w:type="fixed"/>
        <w:tblLook w:val="04A0" w:firstRow="1" w:lastRow="0" w:firstColumn="1" w:lastColumn="0" w:noHBand="0" w:noVBand="1"/>
      </w:tblPr>
      <w:tblGrid>
        <w:gridCol w:w="2600"/>
        <w:gridCol w:w="4913"/>
        <w:gridCol w:w="4253"/>
      </w:tblGrid>
      <w:tr w:rsidR="00A7080A" w:rsidRPr="007E741C" w14:paraId="30AD1876" w14:textId="77777777" w:rsidTr="00C03B4F">
        <w:tc>
          <w:tcPr>
            <w:tcW w:w="2600" w:type="dxa"/>
            <w:tcBorders>
              <w:top w:val="single" w:sz="8" w:space="0" w:color="auto"/>
              <w:left w:val="single" w:sz="8" w:space="0" w:color="auto"/>
              <w:bottom w:val="single" w:sz="8" w:space="0" w:color="auto"/>
              <w:right w:val="single" w:sz="8" w:space="0" w:color="auto"/>
            </w:tcBorders>
          </w:tcPr>
          <w:p w14:paraId="1E4F35B4" w14:textId="77777777" w:rsidR="00A7080A" w:rsidRPr="007E741C" w:rsidRDefault="00A7080A" w:rsidP="00C03B4F">
            <w:pPr>
              <w:contextualSpacing/>
              <w:rPr>
                <w:rFonts w:cstheme="minorHAnsi"/>
                <w:color w:val="000000" w:themeColor="text1"/>
                <w:sz w:val="18"/>
                <w:szCs w:val="18"/>
              </w:rPr>
            </w:pPr>
            <w:r w:rsidRPr="007E741C">
              <w:rPr>
                <w:rFonts w:eastAsia="Calibri" w:cstheme="minorHAnsi"/>
                <w:b/>
                <w:bCs/>
                <w:color w:val="000000" w:themeColor="text1"/>
                <w:sz w:val="18"/>
                <w:szCs w:val="18"/>
              </w:rPr>
              <w:t>Objective</w:t>
            </w:r>
          </w:p>
        </w:tc>
        <w:tc>
          <w:tcPr>
            <w:tcW w:w="9166" w:type="dxa"/>
            <w:gridSpan w:val="2"/>
            <w:tcBorders>
              <w:top w:val="single" w:sz="8" w:space="0" w:color="auto"/>
              <w:left w:val="single" w:sz="8" w:space="0" w:color="auto"/>
              <w:bottom w:val="single" w:sz="8" w:space="0" w:color="auto"/>
              <w:right w:val="single" w:sz="8" w:space="0" w:color="auto"/>
            </w:tcBorders>
          </w:tcPr>
          <w:p w14:paraId="5FCC0372" w14:textId="77777777" w:rsidR="00A7080A" w:rsidRPr="007E741C" w:rsidRDefault="00A7080A" w:rsidP="00C03B4F">
            <w:pPr>
              <w:rPr>
                <w:rFonts w:cstheme="minorHAnsi"/>
                <w:color w:val="000000" w:themeColor="text1"/>
                <w:sz w:val="18"/>
                <w:szCs w:val="18"/>
              </w:rPr>
            </w:pPr>
            <w:r w:rsidRPr="007E741C">
              <w:rPr>
                <w:rFonts w:eastAsia="Calibri" w:cstheme="minorHAnsi"/>
                <w:b/>
                <w:bCs/>
                <w:color w:val="000000" w:themeColor="text1"/>
                <w:sz w:val="18"/>
                <w:szCs w:val="18"/>
              </w:rPr>
              <w:t>Description of DNSH objective</w:t>
            </w:r>
          </w:p>
        </w:tc>
      </w:tr>
      <w:tr w:rsidR="00A7080A" w:rsidRPr="007E741C" w14:paraId="4B744424" w14:textId="77777777" w:rsidTr="00C03B4F">
        <w:tc>
          <w:tcPr>
            <w:tcW w:w="2600" w:type="dxa"/>
            <w:tcBorders>
              <w:top w:val="single" w:sz="8" w:space="0" w:color="auto"/>
              <w:left w:val="single" w:sz="8" w:space="0" w:color="auto"/>
              <w:bottom w:val="single" w:sz="8" w:space="0" w:color="auto"/>
              <w:right w:val="single" w:sz="8" w:space="0" w:color="auto"/>
            </w:tcBorders>
          </w:tcPr>
          <w:p w14:paraId="7B903DDB" w14:textId="77777777" w:rsidR="00A7080A" w:rsidRPr="007E741C" w:rsidRDefault="00A7080A" w:rsidP="00A7080A">
            <w:pPr>
              <w:numPr>
                <w:ilvl w:val="0"/>
                <w:numId w:val="12"/>
              </w:numPr>
              <w:contextualSpacing/>
              <w:rPr>
                <w:rFonts w:cstheme="minorHAnsi"/>
                <w:color w:val="000000" w:themeColor="text1"/>
                <w:sz w:val="18"/>
                <w:szCs w:val="18"/>
              </w:rPr>
            </w:pPr>
            <w:r w:rsidRPr="007E741C">
              <w:rPr>
                <w:rFonts w:cstheme="minorHAnsi"/>
                <w:color w:val="000000" w:themeColor="text1"/>
                <w:sz w:val="18"/>
                <w:szCs w:val="18"/>
              </w:rPr>
              <w:t>Climate change mitigation</w:t>
            </w:r>
          </w:p>
        </w:tc>
        <w:tc>
          <w:tcPr>
            <w:tcW w:w="9166" w:type="dxa"/>
            <w:gridSpan w:val="2"/>
            <w:tcBorders>
              <w:top w:val="single" w:sz="8" w:space="0" w:color="auto"/>
              <w:left w:val="single" w:sz="8" w:space="0" w:color="auto"/>
              <w:bottom w:val="single" w:sz="8" w:space="0" w:color="auto"/>
              <w:right w:val="single" w:sz="8" w:space="0" w:color="auto"/>
            </w:tcBorders>
          </w:tcPr>
          <w:p w14:paraId="67A1F657" w14:textId="77777777" w:rsidR="00A7080A" w:rsidRPr="007E741C" w:rsidRDefault="00A7080A" w:rsidP="00C03B4F">
            <w:pPr>
              <w:rPr>
                <w:rFonts w:eastAsia="Calibri" w:cstheme="minorHAnsi"/>
                <w:color w:val="000000" w:themeColor="text1"/>
                <w:sz w:val="18"/>
                <w:szCs w:val="18"/>
              </w:rPr>
            </w:pPr>
            <w:r w:rsidRPr="007E741C">
              <w:rPr>
                <w:rFonts w:cstheme="minorHAnsi"/>
                <w:color w:val="000000" w:themeColor="text1"/>
                <w:sz w:val="18"/>
                <w:szCs w:val="18"/>
              </w:rPr>
              <w:t>Investment will not lead to significant greenhouse gas (GHG) emissions</w:t>
            </w:r>
          </w:p>
        </w:tc>
      </w:tr>
      <w:tr w:rsidR="00A7080A" w:rsidRPr="007E741C" w14:paraId="0670E40E" w14:textId="77777777" w:rsidTr="00C03B4F">
        <w:tc>
          <w:tcPr>
            <w:tcW w:w="2600" w:type="dxa"/>
            <w:tcBorders>
              <w:top w:val="single" w:sz="8" w:space="0" w:color="auto"/>
              <w:left w:val="single" w:sz="8" w:space="0" w:color="auto"/>
              <w:bottom w:val="single" w:sz="8" w:space="0" w:color="auto"/>
              <w:right w:val="single" w:sz="8" w:space="0" w:color="auto"/>
            </w:tcBorders>
          </w:tcPr>
          <w:p w14:paraId="4666FF6E" w14:textId="77777777" w:rsidR="00A7080A" w:rsidRPr="007E741C" w:rsidRDefault="00A7080A" w:rsidP="00A7080A">
            <w:pPr>
              <w:numPr>
                <w:ilvl w:val="0"/>
                <w:numId w:val="12"/>
              </w:numPr>
              <w:contextualSpacing/>
              <w:rPr>
                <w:rFonts w:cstheme="minorHAnsi"/>
                <w:color w:val="000000" w:themeColor="text1"/>
                <w:sz w:val="18"/>
                <w:szCs w:val="18"/>
              </w:rPr>
            </w:pPr>
            <w:r w:rsidRPr="007E741C">
              <w:rPr>
                <w:rFonts w:cstheme="minorHAnsi"/>
                <w:color w:val="000000" w:themeColor="text1"/>
                <w:sz w:val="18"/>
                <w:szCs w:val="18"/>
              </w:rPr>
              <w:t xml:space="preserve">Climate change adaptation </w:t>
            </w:r>
          </w:p>
          <w:p w14:paraId="7861FD71" w14:textId="77777777" w:rsidR="00A7080A" w:rsidRPr="007E741C" w:rsidRDefault="00A7080A" w:rsidP="00C03B4F">
            <w:pPr>
              <w:ind w:left="720"/>
              <w:rPr>
                <w:rFonts w:cstheme="minorHAnsi"/>
                <w:color w:val="000000" w:themeColor="text1"/>
                <w:sz w:val="18"/>
                <w:szCs w:val="18"/>
              </w:rPr>
            </w:pPr>
          </w:p>
        </w:tc>
        <w:tc>
          <w:tcPr>
            <w:tcW w:w="9166" w:type="dxa"/>
            <w:gridSpan w:val="2"/>
            <w:tcBorders>
              <w:top w:val="single" w:sz="8" w:space="0" w:color="auto"/>
              <w:left w:val="single" w:sz="8" w:space="0" w:color="auto"/>
              <w:bottom w:val="single" w:sz="8" w:space="0" w:color="auto"/>
              <w:right w:val="single" w:sz="8" w:space="0" w:color="auto"/>
            </w:tcBorders>
          </w:tcPr>
          <w:p w14:paraId="6244DA20" w14:textId="77777777" w:rsidR="00A7080A" w:rsidRPr="007E741C" w:rsidRDefault="00A7080A" w:rsidP="00C03B4F">
            <w:pPr>
              <w:rPr>
                <w:rFonts w:eastAsia="Calibri" w:cstheme="minorHAnsi"/>
                <w:color w:val="000000" w:themeColor="text1"/>
                <w:sz w:val="18"/>
                <w:szCs w:val="18"/>
              </w:rPr>
            </w:pPr>
            <w:r w:rsidRPr="007E741C">
              <w:rPr>
                <w:rFonts w:cstheme="minorHAnsi"/>
                <w:color w:val="000000" w:themeColor="text1"/>
                <w:sz w:val="18"/>
                <w:szCs w:val="18"/>
              </w:rPr>
              <w:t>Investment will not lead to an increased adverse impact of the current climate and the expected future climate, on the activity itself or on people, nature or assets</w:t>
            </w:r>
          </w:p>
        </w:tc>
      </w:tr>
      <w:tr w:rsidR="00A7080A" w:rsidRPr="007E741C" w14:paraId="73E00AFC" w14:textId="77777777" w:rsidTr="00C03B4F">
        <w:tc>
          <w:tcPr>
            <w:tcW w:w="2600" w:type="dxa"/>
            <w:tcBorders>
              <w:top w:val="single" w:sz="8" w:space="0" w:color="auto"/>
              <w:left w:val="single" w:sz="8" w:space="0" w:color="auto"/>
              <w:bottom w:val="single" w:sz="8" w:space="0" w:color="auto"/>
              <w:right w:val="single" w:sz="8" w:space="0" w:color="auto"/>
            </w:tcBorders>
          </w:tcPr>
          <w:p w14:paraId="33E9AC2D" w14:textId="77777777" w:rsidR="00A7080A" w:rsidRPr="007E741C" w:rsidRDefault="00A7080A" w:rsidP="00A7080A">
            <w:pPr>
              <w:numPr>
                <w:ilvl w:val="0"/>
                <w:numId w:val="12"/>
              </w:numPr>
              <w:contextualSpacing/>
              <w:rPr>
                <w:rFonts w:cstheme="minorHAnsi"/>
                <w:color w:val="000000" w:themeColor="text1"/>
                <w:sz w:val="18"/>
                <w:szCs w:val="18"/>
              </w:rPr>
            </w:pPr>
            <w:r w:rsidRPr="007E741C">
              <w:rPr>
                <w:rFonts w:cstheme="minorHAnsi"/>
                <w:color w:val="000000" w:themeColor="text1"/>
                <w:sz w:val="18"/>
                <w:szCs w:val="18"/>
              </w:rPr>
              <w:t>The sustainable use and protection of water and marine resources</w:t>
            </w:r>
          </w:p>
        </w:tc>
        <w:tc>
          <w:tcPr>
            <w:tcW w:w="9166" w:type="dxa"/>
            <w:gridSpan w:val="2"/>
            <w:tcBorders>
              <w:top w:val="single" w:sz="8" w:space="0" w:color="auto"/>
              <w:left w:val="single" w:sz="8" w:space="0" w:color="auto"/>
              <w:bottom w:val="single" w:sz="8" w:space="0" w:color="auto"/>
              <w:right w:val="single" w:sz="8" w:space="0" w:color="auto"/>
            </w:tcBorders>
          </w:tcPr>
          <w:p w14:paraId="267F11F1" w14:textId="77777777" w:rsidR="00A7080A" w:rsidRPr="007E741C" w:rsidRDefault="00A7080A" w:rsidP="00C03B4F">
            <w:pPr>
              <w:rPr>
                <w:rFonts w:eastAsia="Calibri" w:cstheme="minorHAnsi"/>
                <w:color w:val="000000" w:themeColor="text1"/>
                <w:sz w:val="18"/>
                <w:szCs w:val="18"/>
              </w:rPr>
            </w:pPr>
            <w:r w:rsidRPr="007E741C">
              <w:rPr>
                <w:rFonts w:eastAsia="Calibri" w:cstheme="minorHAnsi"/>
                <w:color w:val="000000" w:themeColor="text1"/>
                <w:sz w:val="18"/>
                <w:szCs w:val="18"/>
              </w:rPr>
              <w:t xml:space="preserve">Investment </w:t>
            </w:r>
            <w:r w:rsidRPr="007E741C">
              <w:rPr>
                <w:rFonts w:cstheme="minorHAnsi"/>
                <w:color w:val="000000" w:themeColor="text1"/>
                <w:sz w:val="18"/>
                <w:szCs w:val="18"/>
              </w:rPr>
              <w:t>is not detrimental to the good status or the good ecological potential of bodies of water, including surface water and groundwater, or to the good environmental status of marine waters</w:t>
            </w:r>
          </w:p>
        </w:tc>
      </w:tr>
      <w:tr w:rsidR="00A7080A" w:rsidRPr="007E741C" w14:paraId="25D322F4" w14:textId="77777777" w:rsidTr="00C03B4F">
        <w:tc>
          <w:tcPr>
            <w:tcW w:w="2600" w:type="dxa"/>
            <w:tcBorders>
              <w:top w:val="single" w:sz="8" w:space="0" w:color="auto"/>
              <w:left w:val="single" w:sz="8" w:space="0" w:color="auto"/>
              <w:bottom w:val="single" w:sz="8" w:space="0" w:color="auto"/>
              <w:right w:val="single" w:sz="8" w:space="0" w:color="auto"/>
            </w:tcBorders>
          </w:tcPr>
          <w:p w14:paraId="75126DD7" w14:textId="77777777" w:rsidR="00A7080A" w:rsidRPr="007E741C" w:rsidRDefault="00A7080A" w:rsidP="00A7080A">
            <w:pPr>
              <w:numPr>
                <w:ilvl w:val="0"/>
                <w:numId w:val="12"/>
              </w:numPr>
              <w:contextualSpacing/>
              <w:rPr>
                <w:rFonts w:cstheme="minorHAnsi"/>
                <w:color w:val="000000" w:themeColor="text1"/>
                <w:sz w:val="18"/>
                <w:szCs w:val="18"/>
              </w:rPr>
            </w:pPr>
            <w:r w:rsidRPr="007E741C">
              <w:rPr>
                <w:rFonts w:cstheme="minorHAnsi"/>
                <w:color w:val="000000" w:themeColor="text1"/>
                <w:sz w:val="18"/>
                <w:szCs w:val="18"/>
              </w:rPr>
              <w:t>The circular economy, including waste prevention and recycling</w:t>
            </w:r>
          </w:p>
        </w:tc>
        <w:tc>
          <w:tcPr>
            <w:tcW w:w="9166" w:type="dxa"/>
            <w:gridSpan w:val="2"/>
            <w:tcBorders>
              <w:top w:val="single" w:sz="8" w:space="0" w:color="auto"/>
              <w:left w:val="single" w:sz="8" w:space="0" w:color="auto"/>
              <w:bottom w:val="single" w:sz="8" w:space="0" w:color="auto"/>
              <w:right w:val="single" w:sz="8" w:space="0" w:color="auto"/>
            </w:tcBorders>
          </w:tcPr>
          <w:p w14:paraId="5F0CBA87" w14:textId="77777777" w:rsidR="00A7080A" w:rsidRPr="007E741C" w:rsidRDefault="00A7080A" w:rsidP="00C03B4F">
            <w:pPr>
              <w:rPr>
                <w:rFonts w:eastAsia="Calibri" w:cstheme="minorHAnsi"/>
                <w:color w:val="000000" w:themeColor="text1"/>
                <w:sz w:val="18"/>
                <w:szCs w:val="18"/>
              </w:rPr>
            </w:pPr>
            <w:r w:rsidRPr="007E741C">
              <w:rPr>
                <w:rFonts w:eastAsia="Calibri" w:cstheme="minorHAnsi"/>
                <w:color w:val="000000" w:themeColor="text1"/>
                <w:sz w:val="18"/>
                <w:szCs w:val="18"/>
              </w:rPr>
              <w:t xml:space="preserve">Investment will not lead to significant inefficiencies in the use of materials or in the direct or indirect use of natural resources, </w:t>
            </w:r>
          </w:p>
          <w:p w14:paraId="065CBCC4" w14:textId="77777777" w:rsidR="00A7080A" w:rsidRPr="007E741C" w:rsidRDefault="00A7080A" w:rsidP="00C03B4F">
            <w:pPr>
              <w:rPr>
                <w:rFonts w:eastAsia="Calibri" w:cstheme="minorHAnsi"/>
                <w:color w:val="000000" w:themeColor="text1"/>
                <w:sz w:val="18"/>
                <w:szCs w:val="18"/>
              </w:rPr>
            </w:pPr>
            <w:r w:rsidRPr="007E741C">
              <w:rPr>
                <w:rFonts w:eastAsia="Calibri" w:cstheme="minorHAnsi"/>
                <w:color w:val="000000" w:themeColor="text1"/>
                <w:sz w:val="18"/>
                <w:szCs w:val="18"/>
              </w:rPr>
              <w:t>Or</w:t>
            </w:r>
          </w:p>
          <w:p w14:paraId="2EC25803" w14:textId="77777777" w:rsidR="00A7080A" w:rsidRPr="007E741C" w:rsidRDefault="00A7080A" w:rsidP="00C03B4F">
            <w:pPr>
              <w:rPr>
                <w:rFonts w:eastAsia="Calibri" w:cstheme="minorHAnsi"/>
                <w:color w:val="000000" w:themeColor="text1"/>
                <w:sz w:val="18"/>
                <w:szCs w:val="18"/>
              </w:rPr>
            </w:pPr>
            <w:r w:rsidRPr="007E741C">
              <w:rPr>
                <w:rFonts w:eastAsia="Calibri" w:cstheme="minorHAnsi"/>
                <w:color w:val="000000" w:themeColor="text1"/>
                <w:sz w:val="18"/>
                <w:szCs w:val="18"/>
              </w:rPr>
              <w:t xml:space="preserve">Investment will not significantly increase the generation, incineration or disposal of waste, </w:t>
            </w:r>
          </w:p>
          <w:p w14:paraId="70B73664" w14:textId="77777777" w:rsidR="00A7080A" w:rsidRPr="007E741C" w:rsidRDefault="00A7080A" w:rsidP="00C03B4F">
            <w:pPr>
              <w:rPr>
                <w:rFonts w:eastAsia="Calibri" w:cstheme="minorHAnsi"/>
                <w:color w:val="000000" w:themeColor="text1"/>
                <w:sz w:val="18"/>
                <w:szCs w:val="18"/>
              </w:rPr>
            </w:pPr>
            <w:r w:rsidRPr="007E741C">
              <w:rPr>
                <w:rFonts w:eastAsia="Calibri" w:cstheme="minorHAnsi"/>
                <w:color w:val="000000" w:themeColor="text1"/>
                <w:sz w:val="18"/>
                <w:szCs w:val="18"/>
              </w:rPr>
              <w:t xml:space="preserve">Or </w:t>
            </w:r>
          </w:p>
          <w:p w14:paraId="3FAE8939" w14:textId="77777777" w:rsidR="00A7080A" w:rsidRPr="007E741C" w:rsidRDefault="00A7080A" w:rsidP="00C03B4F">
            <w:pPr>
              <w:rPr>
                <w:rFonts w:eastAsia="Calibri" w:cstheme="minorHAnsi"/>
                <w:color w:val="000000" w:themeColor="text1"/>
                <w:sz w:val="18"/>
                <w:szCs w:val="18"/>
              </w:rPr>
            </w:pPr>
            <w:r w:rsidRPr="007E741C">
              <w:rPr>
                <w:rFonts w:eastAsia="Calibri" w:cstheme="minorHAnsi"/>
                <w:color w:val="000000" w:themeColor="text1"/>
                <w:sz w:val="18"/>
                <w:szCs w:val="18"/>
              </w:rPr>
              <w:t>Investment will not lead to long-term disposal of waste that may cause significant and long-term environmental harm;</w:t>
            </w:r>
          </w:p>
        </w:tc>
      </w:tr>
      <w:tr w:rsidR="00A7080A" w:rsidRPr="007E741C" w14:paraId="37EAD97E" w14:textId="77777777" w:rsidTr="00C03B4F">
        <w:tc>
          <w:tcPr>
            <w:tcW w:w="2600" w:type="dxa"/>
            <w:tcBorders>
              <w:top w:val="single" w:sz="8" w:space="0" w:color="auto"/>
              <w:left w:val="single" w:sz="8" w:space="0" w:color="auto"/>
              <w:bottom w:val="single" w:sz="8" w:space="0" w:color="auto"/>
              <w:right w:val="single" w:sz="8" w:space="0" w:color="auto"/>
            </w:tcBorders>
          </w:tcPr>
          <w:p w14:paraId="2FF0BCEA" w14:textId="77777777" w:rsidR="00A7080A" w:rsidRPr="007E741C" w:rsidRDefault="00A7080A" w:rsidP="00A7080A">
            <w:pPr>
              <w:numPr>
                <w:ilvl w:val="0"/>
                <w:numId w:val="12"/>
              </w:numPr>
              <w:contextualSpacing/>
              <w:rPr>
                <w:rFonts w:cstheme="minorHAnsi"/>
                <w:color w:val="000000" w:themeColor="text1"/>
                <w:sz w:val="18"/>
                <w:szCs w:val="18"/>
              </w:rPr>
            </w:pPr>
            <w:r w:rsidRPr="007E741C">
              <w:rPr>
                <w:rFonts w:cstheme="minorHAnsi"/>
                <w:color w:val="000000" w:themeColor="text1"/>
                <w:sz w:val="18"/>
                <w:szCs w:val="18"/>
              </w:rPr>
              <w:t>Pollution prevention and control to air, water or land</w:t>
            </w:r>
          </w:p>
        </w:tc>
        <w:tc>
          <w:tcPr>
            <w:tcW w:w="9166" w:type="dxa"/>
            <w:gridSpan w:val="2"/>
            <w:tcBorders>
              <w:top w:val="single" w:sz="8" w:space="0" w:color="auto"/>
              <w:left w:val="single" w:sz="8" w:space="0" w:color="auto"/>
              <w:bottom w:val="single" w:sz="8" w:space="0" w:color="auto"/>
              <w:right w:val="single" w:sz="8" w:space="0" w:color="auto"/>
            </w:tcBorders>
          </w:tcPr>
          <w:p w14:paraId="418C216B" w14:textId="77777777" w:rsidR="00A7080A" w:rsidRPr="007E741C" w:rsidRDefault="00A7080A" w:rsidP="00C03B4F">
            <w:pPr>
              <w:rPr>
                <w:rFonts w:eastAsia="Calibri" w:cstheme="minorHAnsi"/>
                <w:color w:val="000000" w:themeColor="text1"/>
                <w:sz w:val="18"/>
                <w:szCs w:val="18"/>
              </w:rPr>
            </w:pPr>
            <w:r w:rsidRPr="007E741C">
              <w:rPr>
                <w:rFonts w:eastAsia="Calibri" w:cstheme="minorHAnsi"/>
                <w:color w:val="000000" w:themeColor="text1"/>
                <w:sz w:val="18"/>
                <w:szCs w:val="18"/>
              </w:rPr>
              <w:t xml:space="preserve">Investment will not </w:t>
            </w:r>
            <w:r w:rsidRPr="007E741C">
              <w:rPr>
                <w:rFonts w:cstheme="minorHAnsi"/>
                <w:color w:val="000000" w:themeColor="text1"/>
                <w:sz w:val="18"/>
                <w:szCs w:val="18"/>
              </w:rPr>
              <w:t>lead to a significant increase in emissions of pollutants into air, water or land;</w:t>
            </w:r>
          </w:p>
        </w:tc>
      </w:tr>
      <w:tr w:rsidR="00A7080A" w:rsidRPr="007E741C" w14:paraId="02B158A9" w14:textId="77777777" w:rsidTr="00C03B4F">
        <w:tc>
          <w:tcPr>
            <w:tcW w:w="2600" w:type="dxa"/>
            <w:tcBorders>
              <w:top w:val="single" w:sz="8" w:space="0" w:color="auto"/>
              <w:left w:val="single" w:sz="8" w:space="0" w:color="auto"/>
              <w:bottom w:val="single" w:sz="8" w:space="0" w:color="auto"/>
              <w:right w:val="single" w:sz="8" w:space="0" w:color="auto"/>
            </w:tcBorders>
          </w:tcPr>
          <w:p w14:paraId="47A68586" w14:textId="77777777" w:rsidR="00A7080A" w:rsidRPr="007E741C" w:rsidRDefault="00A7080A" w:rsidP="00A7080A">
            <w:pPr>
              <w:numPr>
                <w:ilvl w:val="0"/>
                <w:numId w:val="12"/>
              </w:numPr>
              <w:contextualSpacing/>
              <w:rPr>
                <w:rFonts w:cstheme="minorHAnsi"/>
                <w:color w:val="000000" w:themeColor="text1"/>
                <w:sz w:val="18"/>
                <w:szCs w:val="18"/>
              </w:rPr>
            </w:pPr>
            <w:r w:rsidRPr="007E741C">
              <w:rPr>
                <w:rFonts w:cstheme="minorHAnsi"/>
                <w:color w:val="000000" w:themeColor="text1"/>
                <w:sz w:val="18"/>
                <w:szCs w:val="18"/>
              </w:rPr>
              <w:t>The protection and restoration of biodiversity and ecosystems</w:t>
            </w:r>
          </w:p>
          <w:p w14:paraId="5A5D3BD9" w14:textId="77777777" w:rsidR="00A7080A" w:rsidRPr="007E741C" w:rsidRDefault="00A7080A" w:rsidP="00C03B4F">
            <w:pPr>
              <w:ind w:firstLine="40"/>
              <w:rPr>
                <w:rFonts w:cstheme="minorHAnsi"/>
                <w:color w:val="000000" w:themeColor="text1"/>
                <w:sz w:val="18"/>
                <w:szCs w:val="18"/>
              </w:rPr>
            </w:pPr>
          </w:p>
        </w:tc>
        <w:tc>
          <w:tcPr>
            <w:tcW w:w="9166" w:type="dxa"/>
            <w:gridSpan w:val="2"/>
            <w:tcBorders>
              <w:top w:val="single" w:sz="8" w:space="0" w:color="auto"/>
              <w:left w:val="single" w:sz="8" w:space="0" w:color="auto"/>
              <w:bottom w:val="single" w:sz="8" w:space="0" w:color="auto"/>
              <w:right w:val="single" w:sz="8" w:space="0" w:color="auto"/>
            </w:tcBorders>
          </w:tcPr>
          <w:p w14:paraId="45CDC953" w14:textId="77777777" w:rsidR="00A7080A" w:rsidRPr="007E741C" w:rsidRDefault="00A7080A" w:rsidP="00C03B4F">
            <w:pPr>
              <w:rPr>
                <w:rFonts w:eastAsia="Calibri" w:cstheme="minorHAnsi"/>
                <w:color w:val="000000" w:themeColor="text1"/>
                <w:sz w:val="18"/>
                <w:szCs w:val="18"/>
              </w:rPr>
            </w:pPr>
            <w:r w:rsidRPr="007E741C">
              <w:rPr>
                <w:rFonts w:eastAsia="Calibri" w:cstheme="minorHAnsi"/>
                <w:color w:val="000000" w:themeColor="text1"/>
                <w:sz w:val="18"/>
                <w:szCs w:val="18"/>
              </w:rPr>
              <w:t xml:space="preserve">Investment </w:t>
            </w:r>
            <w:r w:rsidRPr="007E741C">
              <w:rPr>
                <w:rFonts w:cstheme="minorHAnsi"/>
                <w:color w:val="000000" w:themeColor="text1"/>
                <w:sz w:val="18"/>
                <w:szCs w:val="18"/>
              </w:rPr>
              <w:t>is not significantly detrimental to the good condition and resilience of ecosystems, or detrimental to the conservation status of habitats and species, including those of Union interest.</w:t>
            </w:r>
          </w:p>
        </w:tc>
      </w:tr>
      <w:tr w:rsidR="00A7080A" w:rsidRPr="007E741C" w14:paraId="331CFCF7" w14:textId="77777777" w:rsidTr="00C03B4F">
        <w:trPr>
          <w:trHeight w:val="550"/>
        </w:trPr>
        <w:tc>
          <w:tcPr>
            <w:tcW w:w="7513" w:type="dxa"/>
            <w:gridSpan w:val="2"/>
            <w:tcBorders>
              <w:top w:val="single" w:sz="8" w:space="0" w:color="auto"/>
              <w:left w:val="single" w:sz="8" w:space="0" w:color="auto"/>
              <w:bottom w:val="single" w:sz="8" w:space="0" w:color="auto"/>
              <w:right w:val="single" w:sz="8" w:space="0" w:color="auto"/>
            </w:tcBorders>
          </w:tcPr>
          <w:p w14:paraId="68A30743" w14:textId="77777777" w:rsidR="00A7080A" w:rsidRPr="007E741C" w:rsidRDefault="00A7080A" w:rsidP="00C03B4F">
            <w:pPr>
              <w:contextualSpacing/>
              <w:rPr>
                <w:rFonts w:eastAsia="Calibri" w:cstheme="minorHAnsi"/>
                <w:b/>
                <w:bCs/>
                <w:color w:val="000000" w:themeColor="text1"/>
                <w:sz w:val="18"/>
                <w:szCs w:val="18"/>
              </w:rPr>
            </w:pPr>
            <w:r w:rsidRPr="007E741C">
              <w:rPr>
                <w:rFonts w:eastAsia="Calibri" w:cstheme="minorHAnsi"/>
                <w:b/>
                <w:bCs/>
                <w:color w:val="000000" w:themeColor="text1"/>
                <w:sz w:val="18"/>
                <w:szCs w:val="18"/>
              </w:rPr>
              <w:t>Declaration:</w:t>
            </w:r>
          </w:p>
          <w:p w14:paraId="515A7433" w14:textId="77777777" w:rsidR="00A7080A" w:rsidRPr="007E741C" w:rsidRDefault="00A7080A" w:rsidP="00C03B4F">
            <w:pPr>
              <w:contextualSpacing/>
              <w:rPr>
                <w:rFonts w:eastAsia="Calibri" w:cstheme="minorHAnsi"/>
                <w:color w:val="000000" w:themeColor="text1"/>
                <w:sz w:val="18"/>
                <w:szCs w:val="18"/>
              </w:rPr>
            </w:pPr>
            <w:r w:rsidRPr="007E741C">
              <w:rPr>
                <w:rFonts w:eastAsia="Calibri" w:cstheme="minorHAnsi"/>
                <w:color w:val="000000" w:themeColor="text1"/>
                <w:sz w:val="18"/>
                <w:szCs w:val="18"/>
              </w:rPr>
              <w:t>I declare that this project will comply with the above objectives</w:t>
            </w:r>
            <w:r w:rsidRPr="007E741C">
              <w:rPr>
                <w:rFonts w:eastAsia="Calibri" w:cstheme="minorHAnsi"/>
                <w:color w:val="000000" w:themeColor="text1"/>
                <w:sz w:val="18"/>
                <w:szCs w:val="18"/>
              </w:rPr>
              <w:tab/>
            </w:r>
          </w:p>
        </w:tc>
        <w:tc>
          <w:tcPr>
            <w:tcW w:w="4253" w:type="dxa"/>
            <w:tcBorders>
              <w:top w:val="single" w:sz="8" w:space="0" w:color="auto"/>
              <w:left w:val="single" w:sz="8" w:space="0" w:color="auto"/>
              <w:bottom w:val="single" w:sz="8" w:space="0" w:color="auto"/>
              <w:right w:val="single" w:sz="8" w:space="0" w:color="auto"/>
            </w:tcBorders>
          </w:tcPr>
          <w:p w14:paraId="1628B7B9" w14:textId="77777777" w:rsidR="00A7080A" w:rsidRPr="007E741C" w:rsidRDefault="00A7080A" w:rsidP="00C03B4F">
            <w:pPr>
              <w:contextualSpacing/>
              <w:rPr>
                <w:rFonts w:eastAsia="Calibri" w:cstheme="minorHAnsi"/>
                <w:color w:val="000000" w:themeColor="text1"/>
                <w:sz w:val="18"/>
                <w:szCs w:val="18"/>
              </w:rPr>
            </w:pPr>
            <w:r w:rsidRPr="007E741C">
              <w:rPr>
                <w:rFonts w:eastAsia="Calibri" w:cstheme="minorHAnsi"/>
                <w:color w:val="000000" w:themeColor="text1"/>
                <w:sz w:val="18"/>
                <w:szCs w:val="18"/>
              </w:rPr>
              <w:t>Yes/No</w:t>
            </w:r>
          </w:p>
        </w:tc>
      </w:tr>
      <w:tr w:rsidR="00A7080A" w:rsidRPr="007E741C" w14:paraId="10F07936" w14:textId="77777777" w:rsidTr="00C03B4F">
        <w:trPr>
          <w:trHeight w:val="550"/>
        </w:trPr>
        <w:tc>
          <w:tcPr>
            <w:tcW w:w="11766" w:type="dxa"/>
            <w:gridSpan w:val="3"/>
            <w:tcBorders>
              <w:top w:val="single" w:sz="8" w:space="0" w:color="auto"/>
              <w:left w:val="single" w:sz="8" w:space="0" w:color="auto"/>
              <w:bottom w:val="single" w:sz="8" w:space="0" w:color="auto"/>
              <w:right w:val="single" w:sz="8" w:space="0" w:color="auto"/>
            </w:tcBorders>
          </w:tcPr>
          <w:p w14:paraId="7A215184" w14:textId="77777777" w:rsidR="00A7080A" w:rsidRPr="007E741C" w:rsidRDefault="00A7080A" w:rsidP="00C03B4F">
            <w:pPr>
              <w:contextualSpacing/>
              <w:rPr>
                <w:rFonts w:cstheme="minorHAnsi"/>
                <w:color w:val="000000" w:themeColor="text1"/>
                <w:sz w:val="18"/>
                <w:szCs w:val="18"/>
              </w:rPr>
            </w:pPr>
            <w:r w:rsidRPr="007E741C">
              <w:rPr>
                <w:rFonts w:cstheme="minorHAnsi"/>
                <w:color w:val="000000" w:themeColor="text1"/>
                <w:sz w:val="18"/>
                <w:szCs w:val="18"/>
              </w:rPr>
              <w:t>Justification - Please provide a short justification to support the declaration above in respect of the project</w:t>
            </w:r>
          </w:p>
          <w:p w14:paraId="6B412139" w14:textId="77777777" w:rsidR="00A7080A" w:rsidRPr="007E741C" w:rsidRDefault="00A7080A" w:rsidP="00C03B4F">
            <w:pPr>
              <w:contextualSpacing/>
              <w:rPr>
                <w:rFonts w:cstheme="minorHAnsi"/>
                <w:color w:val="000000" w:themeColor="text1"/>
                <w:sz w:val="18"/>
                <w:szCs w:val="18"/>
              </w:rPr>
            </w:pPr>
          </w:p>
          <w:p w14:paraId="3CA473AE" w14:textId="77777777" w:rsidR="00A7080A" w:rsidRPr="007E741C" w:rsidRDefault="00A7080A" w:rsidP="00C03B4F">
            <w:pPr>
              <w:contextualSpacing/>
              <w:rPr>
                <w:rFonts w:cstheme="minorHAnsi"/>
                <w:color w:val="000000" w:themeColor="text1"/>
                <w:sz w:val="18"/>
                <w:szCs w:val="18"/>
              </w:rPr>
            </w:pPr>
            <w:r w:rsidRPr="007E741C">
              <w:rPr>
                <w:rFonts w:cstheme="minorHAnsi"/>
                <w:i/>
                <w:iCs/>
                <w:color w:val="000000" w:themeColor="text1"/>
                <w:sz w:val="18"/>
                <w:szCs w:val="18"/>
              </w:rPr>
              <w:t>Sample text: The project being supported is for the development of a decarbonisation plan, delivered through consultancy, and will have an insignificant foreseeable impact on any of the six environmental objectives above.</w:t>
            </w:r>
          </w:p>
          <w:p w14:paraId="0BF6AA50" w14:textId="77777777" w:rsidR="00A7080A" w:rsidRPr="007E741C" w:rsidRDefault="00A7080A" w:rsidP="00C03B4F">
            <w:pPr>
              <w:contextualSpacing/>
              <w:rPr>
                <w:rFonts w:cstheme="minorHAnsi"/>
                <w:color w:val="000000" w:themeColor="text1"/>
                <w:sz w:val="18"/>
                <w:szCs w:val="18"/>
              </w:rPr>
            </w:pPr>
          </w:p>
        </w:tc>
      </w:tr>
    </w:tbl>
    <w:p w14:paraId="56D28B95" w14:textId="7466BE4B" w:rsidR="000451B9" w:rsidRPr="00E07A09" w:rsidRDefault="000451B9" w:rsidP="00E07A09">
      <w:pPr>
        <w:spacing w:after="0"/>
        <w:ind w:left="-850" w:right="-850"/>
        <w:rPr>
          <w:rFonts w:asciiTheme="majorHAnsi" w:eastAsiaTheme="majorEastAsia" w:hAnsiTheme="majorHAnsi" w:cstheme="majorBidi"/>
          <w:color w:val="2F5496" w:themeColor="accent1" w:themeShade="BF"/>
          <w:sz w:val="32"/>
          <w:szCs w:val="32"/>
        </w:rPr>
      </w:pPr>
    </w:p>
    <w:p w14:paraId="0E7A4A49" w14:textId="4D2CF302" w:rsidR="000451B9" w:rsidRPr="00F25E74" w:rsidRDefault="000451B9" w:rsidP="000451B9">
      <w:pPr>
        <w:spacing w:before="120" w:after="120" w:line="240" w:lineRule="auto"/>
        <w:rPr>
          <w:sz w:val="24"/>
          <w:szCs w:val="24"/>
          <w:lang w:val="en-GB"/>
        </w:rPr>
      </w:pPr>
    </w:p>
    <w:sectPr w:rsidR="000451B9" w:rsidRPr="00F25E74" w:rsidSect="009E5614">
      <w:headerReference w:type="even" r:id="rId25"/>
      <w:headerReference w:type="default" r:id="rId26"/>
      <w:footerReference w:type="even" r:id="rId27"/>
      <w:footerReference w:type="default" r:id="rId28"/>
      <w:headerReference w:type="first" r:id="rId29"/>
      <w:footerReference w:type="first" r:id="rId3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3A543F" w14:textId="77777777" w:rsidR="003028D6" w:rsidRDefault="003028D6" w:rsidP="009B64EB">
      <w:pPr>
        <w:spacing w:after="0" w:line="240" w:lineRule="auto"/>
      </w:pPr>
      <w:r>
        <w:separator/>
      </w:r>
    </w:p>
  </w:endnote>
  <w:endnote w:type="continuationSeparator" w:id="0">
    <w:p w14:paraId="20E399C1" w14:textId="77777777" w:rsidR="003028D6" w:rsidRDefault="003028D6" w:rsidP="009B64EB">
      <w:pPr>
        <w:spacing w:after="0" w:line="240" w:lineRule="auto"/>
      </w:pPr>
      <w:r>
        <w:continuationSeparator/>
      </w:r>
    </w:p>
  </w:endnote>
  <w:endnote w:type="continuationNotice" w:id="1">
    <w:p w14:paraId="2B86B3DF" w14:textId="77777777" w:rsidR="003028D6" w:rsidRDefault="003028D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6E38D" w14:textId="77777777" w:rsidR="00673A39" w:rsidRDefault="00673A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43D6B" w14:textId="027A09B6" w:rsidR="007A1E9F" w:rsidRDefault="00F25E74">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rPr>
      <w:t>Strategic Consultancy</w:t>
    </w:r>
    <w:r w:rsidR="00421687">
      <w:rPr>
        <w:color w:val="8496B0" w:themeColor="text2" w:themeTint="99"/>
        <w:spacing w:val="60"/>
        <w:sz w:val="24"/>
        <w:szCs w:val="24"/>
      </w:rPr>
      <w:t xml:space="preserve"> </w:t>
    </w:r>
    <w:r w:rsidR="00B22FC5">
      <w:rPr>
        <w:color w:val="8496B0" w:themeColor="text2" w:themeTint="99"/>
        <w:spacing w:val="60"/>
        <w:sz w:val="24"/>
        <w:szCs w:val="24"/>
      </w:rPr>
      <w:t>Assignment Guidelines, v</w:t>
    </w:r>
    <w:r w:rsidR="00673A39">
      <w:rPr>
        <w:color w:val="8496B0" w:themeColor="text2" w:themeTint="99"/>
        <w:spacing w:val="60"/>
        <w:sz w:val="24"/>
        <w:szCs w:val="24"/>
      </w:rPr>
      <w:t>14</w:t>
    </w:r>
    <w:r w:rsidR="00B22FC5">
      <w:rPr>
        <w:color w:val="8496B0" w:themeColor="text2" w:themeTint="99"/>
        <w:spacing w:val="60"/>
        <w:sz w:val="24"/>
        <w:szCs w:val="24"/>
      </w:rPr>
      <w:t>.</w:t>
    </w:r>
    <w:r w:rsidR="00673A39">
      <w:rPr>
        <w:color w:val="8496B0" w:themeColor="text2" w:themeTint="99"/>
        <w:spacing w:val="60"/>
        <w:sz w:val="24"/>
        <w:szCs w:val="24"/>
      </w:rPr>
      <w:t>10</w:t>
    </w:r>
    <w:r w:rsidR="00B22FC5">
      <w:rPr>
        <w:color w:val="8496B0" w:themeColor="text2" w:themeTint="99"/>
        <w:spacing w:val="60"/>
        <w:sz w:val="24"/>
        <w:szCs w:val="24"/>
      </w:rPr>
      <w:t>.</w:t>
    </w:r>
    <w:r w:rsidR="00117CCA">
      <w:rPr>
        <w:color w:val="8496B0" w:themeColor="text2" w:themeTint="99"/>
        <w:spacing w:val="60"/>
        <w:sz w:val="24"/>
        <w:szCs w:val="24"/>
      </w:rPr>
      <w:t>2</w:t>
    </w:r>
    <w:r w:rsidR="00B62117">
      <w:rPr>
        <w:color w:val="8496B0" w:themeColor="text2" w:themeTint="99"/>
        <w:spacing w:val="60"/>
        <w:sz w:val="24"/>
        <w:szCs w:val="24"/>
      </w:rPr>
      <w:t>2</w:t>
    </w:r>
    <w:r w:rsidR="00117CCA">
      <w:rPr>
        <w:color w:val="8496B0" w:themeColor="text2" w:themeTint="99"/>
        <w:spacing w:val="60"/>
        <w:sz w:val="24"/>
        <w:szCs w:val="24"/>
      </w:rPr>
      <w:t xml:space="preserve">                                       </w:t>
    </w:r>
    <w:r w:rsidR="007A1E9F">
      <w:rPr>
        <w:color w:val="8496B0" w:themeColor="text2" w:themeTint="99"/>
        <w:spacing w:val="60"/>
        <w:sz w:val="24"/>
        <w:szCs w:val="24"/>
      </w:rPr>
      <w:t>Page</w:t>
    </w:r>
    <w:r w:rsidR="007A1E9F">
      <w:rPr>
        <w:color w:val="8496B0" w:themeColor="text2" w:themeTint="99"/>
        <w:sz w:val="24"/>
        <w:szCs w:val="24"/>
      </w:rPr>
      <w:t xml:space="preserve"> </w:t>
    </w:r>
    <w:r w:rsidR="007A1E9F">
      <w:rPr>
        <w:color w:val="323E4F" w:themeColor="text2" w:themeShade="BF"/>
        <w:sz w:val="24"/>
        <w:szCs w:val="24"/>
      </w:rPr>
      <w:fldChar w:fldCharType="begin"/>
    </w:r>
    <w:r w:rsidR="007A1E9F">
      <w:rPr>
        <w:color w:val="323E4F" w:themeColor="text2" w:themeShade="BF"/>
        <w:sz w:val="24"/>
        <w:szCs w:val="24"/>
      </w:rPr>
      <w:instrText xml:space="preserve"> PAGE   \* MERGEFORMAT </w:instrText>
    </w:r>
    <w:r w:rsidR="007A1E9F">
      <w:rPr>
        <w:color w:val="323E4F" w:themeColor="text2" w:themeShade="BF"/>
        <w:sz w:val="24"/>
        <w:szCs w:val="24"/>
      </w:rPr>
      <w:fldChar w:fldCharType="separate"/>
    </w:r>
    <w:r w:rsidR="007A1E9F">
      <w:rPr>
        <w:noProof/>
        <w:color w:val="323E4F" w:themeColor="text2" w:themeShade="BF"/>
        <w:sz w:val="24"/>
        <w:szCs w:val="24"/>
      </w:rPr>
      <w:t>1</w:t>
    </w:r>
    <w:r w:rsidR="007A1E9F">
      <w:rPr>
        <w:color w:val="323E4F" w:themeColor="text2" w:themeShade="BF"/>
        <w:sz w:val="24"/>
        <w:szCs w:val="24"/>
      </w:rPr>
      <w:fldChar w:fldCharType="end"/>
    </w:r>
    <w:r w:rsidR="007A1E9F">
      <w:rPr>
        <w:color w:val="323E4F" w:themeColor="text2" w:themeShade="BF"/>
        <w:sz w:val="24"/>
        <w:szCs w:val="24"/>
      </w:rPr>
      <w:t xml:space="preserve"> | </w:t>
    </w:r>
    <w:r w:rsidR="007A1E9F">
      <w:rPr>
        <w:color w:val="323E4F" w:themeColor="text2" w:themeShade="BF"/>
        <w:sz w:val="24"/>
        <w:szCs w:val="24"/>
      </w:rPr>
      <w:fldChar w:fldCharType="begin"/>
    </w:r>
    <w:r w:rsidR="007A1E9F">
      <w:rPr>
        <w:color w:val="323E4F" w:themeColor="text2" w:themeShade="BF"/>
        <w:sz w:val="24"/>
        <w:szCs w:val="24"/>
      </w:rPr>
      <w:instrText xml:space="preserve"> NUMPAGES  \* Arabic  \* MERGEFORMAT </w:instrText>
    </w:r>
    <w:r w:rsidR="007A1E9F">
      <w:rPr>
        <w:color w:val="323E4F" w:themeColor="text2" w:themeShade="BF"/>
        <w:sz w:val="24"/>
        <w:szCs w:val="24"/>
      </w:rPr>
      <w:fldChar w:fldCharType="separate"/>
    </w:r>
    <w:r w:rsidR="007A1E9F">
      <w:rPr>
        <w:noProof/>
        <w:color w:val="323E4F" w:themeColor="text2" w:themeShade="BF"/>
        <w:sz w:val="24"/>
        <w:szCs w:val="24"/>
      </w:rPr>
      <w:t>1</w:t>
    </w:r>
    <w:r w:rsidR="007A1E9F">
      <w:rPr>
        <w:color w:val="323E4F" w:themeColor="text2" w:themeShade="BF"/>
        <w:sz w:val="24"/>
        <w:szCs w:val="24"/>
      </w:rPr>
      <w:fldChar w:fldCharType="end"/>
    </w:r>
  </w:p>
  <w:p w14:paraId="23D6F11A" w14:textId="5836E1E0" w:rsidR="00E80848" w:rsidRDefault="00E8084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8648C" w14:textId="77777777" w:rsidR="00673A39" w:rsidRDefault="00673A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3752C8" w14:textId="77777777" w:rsidR="003028D6" w:rsidRDefault="003028D6" w:rsidP="009B64EB">
      <w:pPr>
        <w:spacing w:after="0" w:line="240" w:lineRule="auto"/>
      </w:pPr>
      <w:r>
        <w:separator/>
      </w:r>
    </w:p>
  </w:footnote>
  <w:footnote w:type="continuationSeparator" w:id="0">
    <w:p w14:paraId="4506EC76" w14:textId="77777777" w:rsidR="003028D6" w:rsidRDefault="003028D6" w:rsidP="009B64EB">
      <w:pPr>
        <w:spacing w:after="0" w:line="240" w:lineRule="auto"/>
      </w:pPr>
      <w:r>
        <w:continuationSeparator/>
      </w:r>
    </w:p>
  </w:footnote>
  <w:footnote w:type="continuationNotice" w:id="1">
    <w:p w14:paraId="5FB8E9D2" w14:textId="77777777" w:rsidR="003028D6" w:rsidRDefault="003028D6">
      <w:pPr>
        <w:spacing w:after="0" w:line="240" w:lineRule="auto"/>
      </w:pPr>
    </w:p>
  </w:footnote>
  <w:footnote w:id="2">
    <w:p w14:paraId="249F2D7F" w14:textId="77777777" w:rsidR="00A7080A" w:rsidRPr="007542AD" w:rsidRDefault="00A7080A" w:rsidP="00A7080A">
      <w:pPr>
        <w:pStyle w:val="FootnoteText"/>
        <w:ind w:left="-850" w:right="-850"/>
        <w:rPr>
          <w:lang w:val="en-IE"/>
        </w:rPr>
      </w:pPr>
      <w:r>
        <w:rPr>
          <w:rStyle w:val="FootnoteReference"/>
        </w:rPr>
        <w:footnoteRef/>
      </w:r>
      <w:r>
        <w:t xml:space="preserve"> </w:t>
      </w:r>
      <w:r w:rsidRPr="007542AD">
        <w:t>Except projects under this measure in power and/or heat generation, as well as related transmission and distribution infrastructure, using natural gas, that are compliant with the conditions set out in Annex III of the ‘Do no significant harm’ Technical Guidance (2021/C58/01)</w:t>
      </w:r>
      <w:r>
        <w:t>.</w:t>
      </w:r>
    </w:p>
  </w:footnote>
  <w:footnote w:id="3">
    <w:p w14:paraId="09A12A7F" w14:textId="77777777" w:rsidR="00A7080A" w:rsidRPr="007542AD" w:rsidRDefault="00A7080A" w:rsidP="00A7080A">
      <w:pPr>
        <w:pStyle w:val="FootnoteText"/>
        <w:ind w:left="-850" w:right="-850"/>
        <w:rPr>
          <w:lang w:val="en-IE"/>
        </w:rPr>
      </w:pPr>
      <w:r>
        <w:rPr>
          <w:rStyle w:val="FootnoteReference"/>
        </w:rPr>
        <w:footnoteRef/>
      </w:r>
      <w:r>
        <w:t xml:space="preserve"> </w:t>
      </w:r>
      <w:r w:rsidRPr="00313872">
        <w:rPr>
          <w:rFonts w:eastAsia="Arial MT" w:cstheme="minorHAnsi"/>
          <w:color w:val="000000" w:themeColor="text1"/>
        </w:rPr>
        <w:t>Where the activity supported achieves projected greenhouse gas emissions that are not substantially lower than the relevant benchmarks an explanation of the reasons why this is not possible should be provided. Benchmarks established for free allocation for activities falling within the scope of the Emissions Trading System, as set out in the Commission Implementing Regulation (EU) 2021/447</w:t>
      </w:r>
      <w:r>
        <w:rPr>
          <w:rFonts w:eastAsia="Arial MT" w:cstheme="minorHAnsi"/>
          <w:color w:val="000000" w:themeColor="text1"/>
        </w:rPr>
        <w:t>.</w:t>
      </w:r>
    </w:p>
  </w:footnote>
  <w:footnote w:id="4">
    <w:p w14:paraId="06E7F6F3" w14:textId="77777777" w:rsidR="00A7080A" w:rsidRPr="007542AD" w:rsidRDefault="00A7080A" w:rsidP="00A7080A">
      <w:pPr>
        <w:pStyle w:val="FootnoteText"/>
        <w:ind w:left="-850" w:right="-850"/>
        <w:rPr>
          <w:lang w:val="en-IE"/>
        </w:rPr>
      </w:pPr>
      <w:r>
        <w:rPr>
          <w:rStyle w:val="FootnoteReference"/>
        </w:rPr>
        <w:footnoteRef/>
      </w:r>
      <w:r>
        <w:t xml:space="preserve"> </w:t>
      </w:r>
      <w:r w:rsidRPr="007542AD">
        <w:t>This exclusion does not apply to actions under this measure in plants exclusively dedicated to treating non-recyclable hazardous waste, and to existing plants, where the actions under this measure are for the purpose of increasing energy efficiency, capturing exhaust gases for storage or use or recovering materials from incineration ashes, provided such actions under this measure do not result in an increase of the plants’ waste processing capacity or in an extension of the lifetime of the plants; for which evidence is provided at plant level.</w:t>
      </w:r>
    </w:p>
  </w:footnote>
  <w:footnote w:id="5">
    <w:p w14:paraId="0BF96D38" w14:textId="77777777" w:rsidR="00A7080A" w:rsidRPr="007542AD" w:rsidRDefault="00A7080A" w:rsidP="00A7080A">
      <w:pPr>
        <w:pStyle w:val="FootnoteText"/>
        <w:ind w:left="-850" w:right="-850"/>
        <w:rPr>
          <w:lang w:val="en-IE"/>
        </w:rPr>
      </w:pPr>
      <w:r>
        <w:rPr>
          <w:rStyle w:val="FootnoteReference"/>
        </w:rPr>
        <w:footnoteRef/>
      </w:r>
      <w:r>
        <w:t xml:space="preserve"> </w:t>
      </w:r>
      <w:r w:rsidRPr="007542AD">
        <w:t>This exclusion does not apply to actions under this measure in existing mechanical biological treatment plants, where the actions under this measure are for the purpose of increasing energy efficiency or retrofitting to recycling operations of separated waste to compost bio-waste and anaerobic digestion of bio-waste, provided such actions under this measure do not result in an increase of the plants’ waste processing capacity or in an extension of the lifetime of the plants; for which evidence is provided at plant level.</w:t>
      </w:r>
    </w:p>
  </w:footnote>
  <w:footnote w:id="6">
    <w:p w14:paraId="7ADFC5DF" w14:textId="77777777" w:rsidR="00A7080A" w:rsidRPr="00B76A58" w:rsidRDefault="00A7080A" w:rsidP="00A7080A">
      <w:pPr>
        <w:pStyle w:val="FootnoteText"/>
        <w:ind w:left="-850" w:right="-850"/>
      </w:pPr>
      <w:r>
        <w:rPr>
          <w:rStyle w:val="FootnoteReference"/>
        </w:rPr>
        <w:footnoteRef/>
      </w:r>
      <w:r>
        <w:t xml:space="preserve"> REGULATION (EU) 2020/852 OF THE EUROPEAN PARLIAMENT AND OF THE COUNCIL of 18 June 2020 on the establishment of a framework to facilitate sustainable investment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89321" w14:textId="77777777" w:rsidR="00673A39" w:rsidRDefault="00673A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E119E" w14:textId="77777777" w:rsidR="00673A39" w:rsidRDefault="00673A3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AD536" w14:textId="77777777" w:rsidR="00673A39" w:rsidRDefault="00673A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1231D"/>
    <w:multiLevelType w:val="hybridMultilevel"/>
    <w:tmpl w:val="B5C26078"/>
    <w:lvl w:ilvl="0" w:tplc="18090001">
      <w:start w:val="1"/>
      <w:numFmt w:val="bullet"/>
      <w:lvlText w:val=""/>
      <w:lvlJc w:val="left"/>
      <w:pPr>
        <w:ind w:left="-130" w:hanging="360"/>
      </w:pPr>
      <w:rPr>
        <w:rFonts w:ascii="Symbol" w:hAnsi="Symbol" w:hint="default"/>
      </w:rPr>
    </w:lvl>
    <w:lvl w:ilvl="1" w:tplc="18090003" w:tentative="1">
      <w:start w:val="1"/>
      <w:numFmt w:val="bullet"/>
      <w:lvlText w:val="o"/>
      <w:lvlJc w:val="left"/>
      <w:pPr>
        <w:ind w:left="590" w:hanging="360"/>
      </w:pPr>
      <w:rPr>
        <w:rFonts w:ascii="Courier New" w:hAnsi="Courier New" w:cs="Courier New" w:hint="default"/>
      </w:rPr>
    </w:lvl>
    <w:lvl w:ilvl="2" w:tplc="18090005" w:tentative="1">
      <w:start w:val="1"/>
      <w:numFmt w:val="bullet"/>
      <w:lvlText w:val=""/>
      <w:lvlJc w:val="left"/>
      <w:pPr>
        <w:ind w:left="1310" w:hanging="360"/>
      </w:pPr>
      <w:rPr>
        <w:rFonts w:ascii="Wingdings" w:hAnsi="Wingdings" w:hint="default"/>
      </w:rPr>
    </w:lvl>
    <w:lvl w:ilvl="3" w:tplc="18090001" w:tentative="1">
      <w:start w:val="1"/>
      <w:numFmt w:val="bullet"/>
      <w:lvlText w:val=""/>
      <w:lvlJc w:val="left"/>
      <w:pPr>
        <w:ind w:left="2030" w:hanging="360"/>
      </w:pPr>
      <w:rPr>
        <w:rFonts w:ascii="Symbol" w:hAnsi="Symbol" w:hint="default"/>
      </w:rPr>
    </w:lvl>
    <w:lvl w:ilvl="4" w:tplc="18090003" w:tentative="1">
      <w:start w:val="1"/>
      <w:numFmt w:val="bullet"/>
      <w:lvlText w:val="o"/>
      <w:lvlJc w:val="left"/>
      <w:pPr>
        <w:ind w:left="2750" w:hanging="360"/>
      </w:pPr>
      <w:rPr>
        <w:rFonts w:ascii="Courier New" w:hAnsi="Courier New" w:cs="Courier New" w:hint="default"/>
      </w:rPr>
    </w:lvl>
    <w:lvl w:ilvl="5" w:tplc="18090005" w:tentative="1">
      <w:start w:val="1"/>
      <w:numFmt w:val="bullet"/>
      <w:lvlText w:val=""/>
      <w:lvlJc w:val="left"/>
      <w:pPr>
        <w:ind w:left="3470" w:hanging="360"/>
      </w:pPr>
      <w:rPr>
        <w:rFonts w:ascii="Wingdings" w:hAnsi="Wingdings" w:hint="default"/>
      </w:rPr>
    </w:lvl>
    <w:lvl w:ilvl="6" w:tplc="18090001" w:tentative="1">
      <w:start w:val="1"/>
      <w:numFmt w:val="bullet"/>
      <w:lvlText w:val=""/>
      <w:lvlJc w:val="left"/>
      <w:pPr>
        <w:ind w:left="4190" w:hanging="360"/>
      </w:pPr>
      <w:rPr>
        <w:rFonts w:ascii="Symbol" w:hAnsi="Symbol" w:hint="default"/>
      </w:rPr>
    </w:lvl>
    <w:lvl w:ilvl="7" w:tplc="18090003" w:tentative="1">
      <w:start w:val="1"/>
      <w:numFmt w:val="bullet"/>
      <w:lvlText w:val="o"/>
      <w:lvlJc w:val="left"/>
      <w:pPr>
        <w:ind w:left="4910" w:hanging="360"/>
      </w:pPr>
      <w:rPr>
        <w:rFonts w:ascii="Courier New" w:hAnsi="Courier New" w:cs="Courier New" w:hint="default"/>
      </w:rPr>
    </w:lvl>
    <w:lvl w:ilvl="8" w:tplc="18090005" w:tentative="1">
      <w:start w:val="1"/>
      <w:numFmt w:val="bullet"/>
      <w:lvlText w:val=""/>
      <w:lvlJc w:val="left"/>
      <w:pPr>
        <w:ind w:left="5630" w:hanging="360"/>
      </w:pPr>
      <w:rPr>
        <w:rFonts w:ascii="Wingdings" w:hAnsi="Wingdings" w:hint="default"/>
      </w:rPr>
    </w:lvl>
  </w:abstractNum>
  <w:abstractNum w:abstractNumId="1" w15:restartNumberingAfterBreak="0">
    <w:nsid w:val="164E627E"/>
    <w:multiLevelType w:val="hybridMultilevel"/>
    <w:tmpl w:val="3F18087A"/>
    <w:lvl w:ilvl="0" w:tplc="17383716">
      <w:start w:val="5"/>
      <w:numFmt w:val="decimal"/>
      <w:lvlText w:val="%1"/>
      <w:lvlJc w:val="left"/>
      <w:pPr>
        <w:ind w:left="-490" w:hanging="360"/>
      </w:pPr>
      <w:rPr>
        <w:rFonts w:hint="default"/>
      </w:rPr>
    </w:lvl>
    <w:lvl w:ilvl="1" w:tplc="18090019" w:tentative="1">
      <w:start w:val="1"/>
      <w:numFmt w:val="lowerLetter"/>
      <w:lvlText w:val="%2."/>
      <w:lvlJc w:val="left"/>
      <w:pPr>
        <w:ind w:left="230" w:hanging="360"/>
      </w:pPr>
    </w:lvl>
    <w:lvl w:ilvl="2" w:tplc="1809001B" w:tentative="1">
      <w:start w:val="1"/>
      <w:numFmt w:val="lowerRoman"/>
      <w:lvlText w:val="%3."/>
      <w:lvlJc w:val="right"/>
      <w:pPr>
        <w:ind w:left="950" w:hanging="180"/>
      </w:pPr>
    </w:lvl>
    <w:lvl w:ilvl="3" w:tplc="1809000F" w:tentative="1">
      <w:start w:val="1"/>
      <w:numFmt w:val="decimal"/>
      <w:lvlText w:val="%4."/>
      <w:lvlJc w:val="left"/>
      <w:pPr>
        <w:ind w:left="1670" w:hanging="360"/>
      </w:pPr>
    </w:lvl>
    <w:lvl w:ilvl="4" w:tplc="18090019" w:tentative="1">
      <w:start w:val="1"/>
      <w:numFmt w:val="lowerLetter"/>
      <w:lvlText w:val="%5."/>
      <w:lvlJc w:val="left"/>
      <w:pPr>
        <w:ind w:left="2390" w:hanging="360"/>
      </w:pPr>
    </w:lvl>
    <w:lvl w:ilvl="5" w:tplc="1809001B" w:tentative="1">
      <w:start w:val="1"/>
      <w:numFmt w:val="lowerRoman"/>
      <w:lvlText w:val="%6."/>
      <w:lvlJc w:val="right"/>
      <w:pPr>
        <w:ind w:left="3110" w:hanging="180"/>
      </w:pPr>
    </w:lvl>
    <w:lvl w:ilvl="6" w:tplc="1809000F" w:tentative="1">
      <w:start w:val="1"/>
      <w:numFmt w:val="decimal"/>
      <w:lvlText w:val="%7."/>
      <w:lvlJc w:val="left"/>
      <w:pPr>
        <w:ind w:left="3830" w:hanging="360"/>
      </w:pPr>
    </w:lvl>
    <w:lvl w:ilvl="7" w:tplc="18090019" w:tentative="1">
      <w:start w:val="1"/>
      <w:numFmt w:val="lowerLetter"/>
      <w:lvlText w:val="%8."/>
      <w:lvlJc w:val="left"/>
      <w:pPr>
        <w:ind w:left="4550" w:hanging="360"/>
      </w:pPr>
    </w:lvl>
    <w:lvl w:ilvl="8" w:tplc="1809001B" w:tentative="1">
      <w:start w:val="1"/>
      <w:numFmt w:val="lowerRoman"/>
      <w:lvlText w:val="%9."/>
      <w:lvlJc w:val="right"/>
      <w:pPr>
        <w:ind w:left="5270" w:hanging="180"/>
      </w:pPr>
    </w:lvl>
  </w:abstractNum>
  <w:abstractNum w:abstractNumId="2" w15:restartNumberingAfterBreak="0">
    <w:nsid w:val="1BA94932"/>
    <w:multiLevelType w:val="hybridMultilevel"/>
    <w:tmpl w:val="805A6F7A"/>
    <w:lvl w:ilvl="0" w:tplc="5204F05E">
      <w:start w:val="1"/>
      <w:numFmt w:val="bullet"/>
      <w:lvlText w:val="o"/>
      <w:lvlJc w:val="left"/>
      <w:pPr>
        <w:ind w:left="-130" w:hanging="360"/>
      </w:pPr>
      <w:rPr>
        <w:rFonts w:ascii="Courier New" w:hAnsi="Courier New" w:hint="default"/>
        <w:color w:val="auto"/>
      </w:rPr>
    </w:lvl>
    <w:lvl w:ilvl="1" w:tplc="18090003" w:tentative="1">
      <w:start w:val="1"/>
      <w:numFmt w:val="bullet"/>
      <w:lvlText w:val="o"/>
      <w:lvlJc w:val="left"/>
      <w:pPr>
        <w:ind w:left="590" w:hanging="360"/>
      </w:pPr>
      <w:rPr>
        <w:rFonts w:ascii="Courier New" w:hAnsi="Courier New" w:cs="Courier New" w:hint="default"/>
      </w:rPr>
    </w:lvl>
    <w:lvl w:ilvl="2" w:tplc="18090005" w:tentative="1">
      <w:start w:val="1"/>
      <w:numFmt w:val="bullet"/>
      <w:lvlText w:val=""/>
      <w:lvlJc w:val="left"/>
      <w:pPr>
        <w:ind w:left="1310" w:hanging="360"/>
      </w:pPr>
      <w:rPr>
        <w:rFonts w:ascii="Wingdings" w:hAnsi="Wingdings" w:hint="default"/>
      </w:rPr>
    </w:lvl>
    <w:lvl w:ilvl="3" w:tplc="18090001" w:tentative="1">
      <w:start w:val="1"/>
      <w:numFmt w:val="bullet"/>
      <w:lvlText w:val=""/>
      <w:lvlJc w:val="left"/>
      <w:pPr>
        <w:ind w:left="2030" w:hanging="360"/>
      </w:pPr>
      <w:rPr>
        <w:rFonts w:ascii="Symbol" w:hAnsi="Symbol" w:hint="default"/>
      </w:rPr>
    </w:lvl>
    <w:lvl w:ilvl="4" w:tplc="18090003" w:tentative="1">
      <w:start w:val="1"/>
      <w:numFmt w:val="bullet"/>
      <w:lvlText w:val="o"/>
      <w:lvlJc w:val="left"/>
      <w:pPr>
        <w:ind w:left="2750" w:hanging="360"/>
      </w:pPr>
      <w:rPr>
        <w:rFonts w:ascii="Courier New" w:hAnsi="Courier New" w:cs="Courier New" w:hint="default"/>
      </w:rPr>
    </w:lvl>
    <w:lvl w:ilvl="5" w:tplc="18090005" w:tentative="1">
      <w:start w:val="1"/>
      <w:numFmt w:val="bullet"/>
      <w:lvlText w:val=""/>
      <w:lvlJc w:val="left"/>
      <w:pPr>
        <w:ind w:left="3470" w:hanging="360"/>
      </w:pPr>
      <w:rPr>
        <w:rFonts w:ascii="Wingdings" w:hAnsi="Wingdings" w:hint="default"/>
      </w:rPr>
    </w:lvl>
    <w:lvl w:ilvl="6" w:tplc="18090001" w:tentative="1">
      <w:start w:val="1"/>
      <w:numFmt w:val="bullet"/>
      <w:lvlText w:val=""/>
      <w:lvlJc w:val="left"/>
      <w:pPr>
        <w:ind w:left="4190" w:hanging="360"/>
      </w:pPr>
      <w:rPr>
        <w:rFonts w:ascii="Symbol" w:hAnsi="Symbol" w:hint="default"/>
      </w:rPr>
    </w:lvl>
    <w:lvl w:ilvl="7" w:tplc="18090003" w:tentative="1">
      <w:start w:val="1"/>
      <w:numFmt w:val="bullet"/>
      <w:lvlText w:val="o"/>
      <w:lvlJc w:val="left"/>
      <w:pPr>
        <w:ind w:left="4910" w:hanging="360"/>
      </w:pPr>
      <w:rPr>
        <w:rFonts w:ascii="Courier New" w:hAnsi="Courier New" w:cs="Courier New" w:hint="default"/>
      </w:rPr>
    </w:lvl>
    <w:lvl w:ilvl="8" w:tplc="18090005" w:tentative="1">
      <w:start w:val="1"/>
      <w:numFmt w:val="bullet"/>
      <w:lvlText w:val=""/>
      <w:lvlJc w:val="left"/>
      <w:pPr>
        <w:ind w:left="5630" w:hanging="360"/>
      </w:pPr>
      <w:rPr>
        <w:rFonts w:ascii="Wingdings" w:hAnsi="Wingdings" w:hint="default"/>
      </w:rPr>
    </w:lvl>
  </w:abstractNum>
  <w:abstractNum w:abstractNumId="3" w15:restartNumberingAfterBreak="0">
    <w:nsid w:val="1E0F5630"/>
    <w:multiLevelType w:val="multilevel"/>
    <w:tmpl w:val="E70A16C2"/>
    <w:lvl w:ilvl="0">
      <w:start w:val="6"/>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33B146E5"/>
    <w:multiLevelType w:val="hybridMultilevel"/>
    <w:tmpl w:val="9928165C"/>
    <w:lvl w:ilvl="0" w:tplc="26CCAEC0">
      <w:start w:val="4"/>
      <w:numFmt w:val="bullet"/>
      <w:lvlText w:val="-"/>
      <w:lvlJc w:val="left"/>
      <w:pPr>
        <w:ind w:left="3960" w:hanging="360"/>
      </w:pPr>
      <w:rPr>
        <w:rFonts w:ascii="Calibri Light" w:eastAsiaTheme="majorEastAsia" w:hAnsi="Calibri Light" w:cs="Calibri Light" w:hint="default"/>
      </w:rPr>
    </w:lvl>
    <w:lvl w:ilvl="1" w:tplc="18090003" w:tentative="1">
      <w:start w:val="1"/>
      <w:numFmt w:val="bullet"/>
      <w:lvlText w:val="o"/>
      <w:lvlJc w:val="left"/>
      <w:pPr>
        <w:ind w:left="4680" w:hanging="360"/>
      </w:pPr>
      <w:rPr>
        <w:rFonts w:ascii="Courier New" w:hAnsi="Courier New" w:cs="Courier New" w:hint="default"/>
      </w:rPr>
    </w:lvl>
    <w:lvl w:ilvl="2" w:tplc="18090005" w:tentative="1">
      <w:start w:val="1"/>
      <w:numFmt w:val="bullet"/>
      <w:lvlText w:val=""/>
      <w:lvlJc w:val="left"/>
      <w:pPr>
        <w:ind w:left="5400" w:hanging="360"/>
      </w:pPr>
      <w:rPr>
        <w:rFonts w:ascii="Wingdings" w:hAnsi="Wingdings" w:hint="default"/>
      </w:rPr>
    </w:lvl>
    <w:lvl w:ilvl="3" w:tplc="18090001" w:tentative="1">
      <w:start w:val="1"/>
      <w:numFmt w:val="bullet"/>
      <w:lvlText w:val=""/>
      <w:lvlJc w:val="left"/>
      <w:pPr>
        <w:ind w:left="6120" w:hanging="360"/>
      </w:pPr>
      <w:rPr>
        <w:rFonts w:ascii="Symbol" w:hAnsi="Symbol" w:hint="default"/>
      </w:rPr>
    </w:lvl>
    <w:lvl w:ilvl="4" w:tplc="18090003" w:tentative="1">
      <w:start w:val="1"/>
      <w:numFmt w:val="bullet"/>
      <w:lvlText w:val="o"/>
      <w:lvlJc w:val="left"/>
      <w:pPr>
        <w:ind w:left="6840" w:hanging="360"/>
      </w:pPr>
      <w:rPr>
        <w:rFonts w:ascii="Courier New" w:hAnsi="Courier New" w:cs="Courier New" w:hint="default"/>
      </w:rPr>
    </w:lvl>
    <w:lvl w:ilvl="5" w:tplc="18090005" w:tentative="1">
      <w:start w:val="1"/>
      <w:numFmt w:val="bullet"/>
      <w:lvlText w:val=""/>
      <w:lvlJc w:val="left"/>
      <w:pPr>
        <w:ind w:left="7560" w:hanging="360"/>
      </w:pPr>
      <w:rPr>
        <w:rFonts w:ascii="Wingdings" w:hAnsi="Wingdings" w:hint="default"/>
      </w:rPr>
    </w:lvl>
    <w:lvl w:ilvl="6" w:tplc="18090001" w:tentative="1">
      <w:start w:val="1"/>
      <w:numFmt w:val="bullet"/>
      <w:lvlText w:val=""/>
      <w:lvlJc w:val="left"/>
      <w:pPr>
        <w:ind w:left="8280" w:hanging="360"/>
      </w:pPr>
      <w:rPr>
        <w:rFonts w:ascii="Symbol" w:hAnsi="Symbol" w:hint="default"/>
      </w:rPr>
    </w:lvl>
    <w:lvl w:ilvl="7" w:tplc="18090003" w:tentative="1">
      <w:start w:val="1"/>
      <w:numFmt w:val="bullet"/>
      <w:lvlText w:val="o"/>
      <w:lvlJc w:val="left"/>
      <w:pPr>
        <w:ind w:left="9000" w:hanging="360"/>
      </w:pPr>
      <w:rPr>
        <w:rFonts w:ascii="Courier New" w:hAnsi="Courier New" w:cs="Courier New" w:hint="default"/>
      </w:rPr>
    </w:lvl>
    <w:lvl w:ilvl="8" w:tplc="18090005" w:tentative="1">
      <w:start w:val="1"/>
      <w:numFmt w:val="bullet"/>
      <w:lvlText w:val=""/>
      <w:lvlJc w:val="left"/>
      <w:pPr>
        <w:ind w:left="9720" w:hanging="360"/>
      </w:pPr>
      <w:rPr>
        <w:rFonts w:ascii="Wingdings" w:hAnsi="Wingdings" w:hint="default"/>
      </w:rPr>
    </w:lvl>
  </w:abstractNum>
  <w:abstractNum w:abstractNumId="5" w15:restartNumberingAfterBreak="0">
    <w:nsid w:val="347A7805"/>
    <w:multiLevelType w:val="hybridMultilevel"/>
    <w:tmpl w:val="CB541424"/>
    <w:lvl w:ilvl="0" w:tplc="18090001">
      <w:start w:val="1"/>
      <w:numFmt w:val="bullet"/>
      <w:lvlText w:val=""/>
      <w:lvlJc w:val="left"/>
      <w:pPr>
        <w:ind w:left="230" w:hanging="360"/>
      </w:pPr>
      <w:rPr>
        <w:rFonts w:ascii="Symbol" w:hAnsi="Symbol" w:hint="default"/>
      </w:rPr>
    </w:lvl>
    <w:lvl w:ilvl="1" w:tplc="18090003" w:tentative="1">
      <w:start w:val="1"/>
      <w:numFmt w:val="bullet"/>
      <w:lvlText w:val="o"/>
      <w:lvlJc w:val="left"/>
      <w:pPr>
        <w:ind w:left="950" w:hanging="360"/>
      </w:pPr>
      <w:rPr>
        <w:rFonts w:ascii="Courier New" w:hAnsi="Courier New" w:cs="Courier New" w:hint="default"/>
      </w:rPr>
    </w:lvl>
    <w:lvl w:ilvl="2" w:tplc="18090005" w:tentative="1">
      <w:start w:val="1"/>
      <w:numFmt w:val="bullet"/>
      <w:lvlText w:val=""/>
      <w:lvlJc w:val="left"/>
      <w:pPr>
        <w:ind w:left="1670" w:hanging="360"/>
      </w:pPr>
      <w:rPr>
        <w:rFonts w:ascii="Wingdings" w:hAnsi="Wingdings" w:hint="default"/>
      </w:rPr>
    </w:lvl>
    <w:lvl w:ilvl="3" w:tplc="18090001" w:tentative="1">
      <w:start w:val="1"/>
      <w:numFmt w:val="bullet"/>
      <w:lvlText w:val=""/>
      <w:lvlJc w:val="left"/>
      <w:pPr>
        <w:ind w:left="2390" w:hanging="360"/>
      </w:pPr>
      <w:rPr>
        <w:rFonts w:ascii="Symbol" w:hAnsi="Symbol" w:hint="default"/>
      </w:rPr>
    </w:lvl>
    <w:lvl w:ilvl="4" w:tplc="18090003" w:tentative="1">
      <w:start w:val="1"/>
      <w:numFmt w:val="bullet"/>
      <w:lvlText w:val="o"/>
      <w:lvlJc w:val="left"/>
      <w:pPr>
        <w:ind w:left="3110" w:hanging="360"/>
      </w:pPr>
      <w:rPr>
        <w:rFonts w:ascii="Courier New" w:hAnsi="Courier New" w:cs="Courier New" w:hint="default"/>
      </w:rPr>
    </w:lvl>
    <w:lvl w:ilvl="5" w:tplc="18090005" w:tentative="1">
      <w:start w:val="1"/>
      <w:numFmt w:val="bullet"/>
      <w:lvlText w:val=""/>
      <w:lvlJc w:val="left"/>
      <w:pPr>
        <w:ind w:left="3830" w:hanging="360"/>
      </w:pPr>
      <w:rPr>
        <w:rFonts w:ascii="Wingdings" w:hAnsi="Wingdings" w:hint="default"/>
      </w:rPr>
    </w:lvl>
    <w:lvl w:ilvl="6" w:tplc="18090001" w:tentative="1">
      <w:start w:val="1"/>
      <w:numFmt w:val="bullet"/>
      <w:lvlText w:val=""/>
      <w:lvlJc w:val="left"/>
      <w:pPr>
        <w:ind w:left="4550" w:hanging="360"/>
      </w:pPr>
      <w:rPr>
        <w:rFonts w:ascii="Symbol" w:hAnsi="Symbol" w:hint="default"/>
      </w:rPr>
    </w:lvl>
    <w:lvl w:ilvl="7" w:tplc="18090003" w:tentative="1">
      <w:start w:val="1"/>
      <w:numFmt w:val="bullet"/>
      <w:lvlText w:val="o"/>
      <w:lvlJc w:val="left"/>
      <w:pPr>
        <w:ind w:left="5270" w:hanging="360"/>
      </w:pPr>
      <w:rPr>
        <w:rFonts w:ascii="Courier New" w:hAnsi="Courier New" w:cs="Courier New" w:hint="default"/>
      </w:rPr>
    </w:lvl>
    <w:lvl w:ilvl="8" w:tplc="18090005" w:tentative="1">
      <w:start w:val="1"/>
      <w:numFmt w:val="bullet"/>
      <w:lvlText w:val=""/>
      <w:lvlJc w:val="left"/>
      <w:pPr>
        <w:ind w:left="5990" w:hanging="360"/>
      </w:pPr>
      <w:rPr>
        <w:rFonts w:ascii="Wingdings" w:hAnsi="Wingdings" w:hint="default"/>
      </w:rPr>
    </w:lvl>
  </w:abstractNum>
  <w:abstractNum w:abstractNumId="6" w15:restartNumberingAfterBreak="0">
    <w:nsid w:val="46916E1D"/>
    <w:multiLevelType w:val="hybridMultilevel"/>
    <w:tmpl w:val="3528897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48285D87"/>
    <w:multiLevelType w:val="hybridMultilevel"/>
    <w:tmpl w:val="D48441EA"/>
    <w:lvl w:ilvl="0" w:tplc="C9FA393A">
      <w:numFmt w:val="bullet"/>
      <w:lvlText w:val="-"/>
      <w:lvlJc w:val="left"/>
      <w:pPr>
        <w:ind w:left="-490" w:hanging="360"/>
      </w:pPr>
      <w:rPr>
        <w:rFonts w:ascii="Calibri" w:eastAsiaTheme="minorHAnsi" w:hAnsi="Calibri" w:cs="Calibri" w:hint="default"/>
      </w:rPr>
    </w:lvl>
    <w:lvl w:ilvl="1" w:tplc="18090003" w:tentative="1">
      <w:start w:val="1"/>
      <w:numFmt w:val="bullet"/>
      <w:lvlText w:val="o"/>
      <w:lvlJc w:val="left"/>
      <w:pPr>
        <w:ind w:left="230" w:hanging="360"/>
      </w:pPr>
      <w:rPr>
        <w:rFonts w:ascii="Courier New" w:hAnsi="Courier New" w:cs="Courier New" w:hint="default"/>
      </w:rPr>
    </w:lvl>
    <w:lvl w:ilvl="2" w:tplc="18090005" w:tentative="1">
      <w:start w:val="1"/>
      <w:numFmt w:val="bullet"/>
      <w:lvlText w:val=""/>
      <w:lvlJc w:val="left"/>
      <w:pPr>
        <w:ind w:left="950" w:hanging="360"/>
      </w:pPr>
      <w:rPr>
        <w:rFonts w:ascii="Wingdings" w:hAnsi="Wingdings" w:hint="default"/>
      </w:rPr>
    </w:lvl>
    <w:lvl w:ilvl="3" w:tplc="18090001" w:tentative="1">
      <w:start w:val="1"/>
      <w:numFmt w:val="bullet"/>
      <w:lvlText w:val=""/>
      <w:lvlJc w:val="left"/>
      <w:pPr>
        <w:ind w:left="1670" w:hanging="360"/>
      </w:pPr>
      <w:rPr>
        <w:rFonts w:ascii="Symbol" w:hAnsi="Symbol" w:hint="default"/>
      </w:rPr>
    </w:lvl>
    <w:lvl w:ilvl="4" w:tplc="18090003" w:tentative="1">
      <w:start w:val="1"/>
      <w:numFmt w:val="bullet"/>
      <w:lvlText w:val="o"/>
      <w:lvlJc w:val="left"/>
      <w:pPr>
        <w:ind w:left="2390" w:hanging="360"/>
      </w:pPr>
      <w:rPr>
        <w:rFonts w:ascii="Courier New" w:hAnsi="Courier New" w:cs="Courier New" w:hint="default"/>
      </w:rPr>
    </w:lvl>
    <w:lvl w:ilvl="5" w:tplc="18090005" w:tentative="1">
      <w:start w:val="1"/>
      <w:numFmt w:val="bullet"/>
      <w:lvlText w:val=""/>
      <w:lvlJc w:val="left"/>
      <w:pPr>
        <w:ind w:left="3110" w:hanging="360"/>
      </w:pPr>
      <w:rPr>
        <w:rFonts w:ascii="Wingdings" w:hAnsi="Wingdings" w:hint="default"/>
      </w:rPr>
    </w:lvl>
    <w:lvl w:ilvl="6" w:tplc="18090001" w:tentative="1">
      <w:start w:val="1"/>
      <w:numFmt w:val="bullet"/>
      <w:lvlText w:val=""/>
      <w:lvlJc w:val="left"/>
      <w:pPr>
        <w:ind w:left="3830" w:hanging="360"/>
      </w:pPr>
      <w:rPr>
        <w:rFonts w:ascii="Symbol" w:hAnsi="Symbol" w:hint="default"/>
      </w:rPr>
    </w:lvl>
    <w:lvl w:ilvl="7" w:tplc="18090003" w:tentative="1">
      <w:start w:val="1"/>
      <w:numFmt w:val="bullet"/>
      <w:lvlText w:val="o"/>
      <w:lvlJc w:val="left"/>
      <w:pPr>
        <w:ind w:left="4550" w:hanging="360"/>
      </w:pPr>
      <w:rPr>
        <w:rFonts w:ascii="Courier New" w:hAnsi="Courier New" w:cs="Courier New" w:hint="default"/>
      </w:rPr>
    </w:lvl>
    <w:lvl w:ilvl="8" w:tplc="18090005" w:tentative="1">
      <w:start w:val="1"/>
      <w:numFmt w:val="bullet"/>
      <w:lvlText w:val=""/>
      <w:lvlJc w:val="left"/>
      <w:pPr>
        <w:ind w:left="5270" w:hanging="360"/>
      </w:pPr>
      <w:rPr>
        <w:rFonts w:ascii="Wingdings" w:hAnsi="Wingdings" w:hint="default"/>
      </w:rPr>
    </w:lvl>
  </w:abstractNum>
  <w:abstractNum w:abstractNumId="8" w15:restartNumberingAfterBreak="0">
    <w:nsid w:val="489D7EB1"/>
    <w:multiLevelType w:val="hybridMultilevel"/>
    <w:tmpl w:val="777C5018"/>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9" w15:restartNumberingAfterBreak="0">
    <w:nsid w:val="4A3E7878"/>
    <w:multiLevelType w:val="hybridMultilevel"/>
    <w:tmpl w:val="4608F4AE"/>
    <w:lvl w:ilvl="0" w:tplc="18090001">
      <w:start w:val="1"/>
      <w:numFmt w:val="bullet"/>
      <w:lvlText w:val=""/>
      <w:lvlJc w:val="left"/>
      <w:pPr>
        <w:ind w:left="-130" w:hanging="360"/>
      </w:pPr>
      <w:rPr>
        <w:rFonts w:ascii="Symbol" w:hAnsi="Symbol" w:hint="default"/>
      </w:rPr>
    </w:lvl>
    <w:lvl w:ilvl="1" w:tplc="18090003" w:tentative="1">
      <w:start w:val="1"/>
      <w:numFmt w:val="bullet"/>
      <w:lvlText w:val="o"/>
      <w:lvlJc w:val="left"/>
      <w:pPr>
        <w:ind w:left="590" w:hanging="360"/>
      </w:pPr>
      <w:rPr>
        <w:rFonts w:ascii="Courier New" w:hAnsi="Courier New" w:cs="Courier New" w:hint="default"/>
      </w:rPr>
    </w:lvl>
    <w:lvl w:ilvl="2" w:tplc="18090005" w:tentative="1">
      <w:start w:val="1"/>
      <w:numFmt w:val="bullet"/>
      <w:lvlText w:val=""/>
      <w:lvlJc w:val="left"/>
      <w:pPr>
        <w:ind w:left="1310" w:hanging="360"/>
      </w:pPr>
      <w:rPr>
        <w:rFonts w:ascii="Wingdings" w:hAnsi="Wingdings" w:hint="default"/>
      </w:rPr>
    </w:lvl>
    <w:lvl w:ilvl="3" w:tplc="18090001" w:tentative="1">
      <w:start w:val="1"/>
      <w:numFmt w:val="bullet"/>
      <w:lvlText w:val=""/>
      <w:lvlJc w:val="left"/>
      <w:pPr>
        <w:ind w:left="2030" w:hanging="360"/>
      </w:pPr>
      <w:rPr>
        <w:rFonts w:ascii="Symbol" w:hAnsi="Symbol" w:hint="default"/>
      </w:rPr>
    </w:lvl>
    <w:lvl w:ilvl="4" w:tplc="18090003" w:tentative="1">
      <w:start w:val="1"/>
      <w:numFmt w:val="bullet"/>
      <w:lvlText w:val="o"/>
      <w:lvlJc w:val="left"/>
      <w:pPr>
        <w:ind w:left="2750" w:hanging="360"/>
      </w:pPr>
      <w:rPr>
        <w:rFonts w:ascii="Courier New" w:hAnsi="Courier New" w:cs="Courier New" w:hint="default"/>
      </w:rPr>
    </w:lvl>
    <w:lvl w:ilvl="5" w:tplc="18090005" w:tentative="1">
      <w:start w:val="1"/>
      <w:numFmt w:val="bullet"/>
      <w:lvlText w:val=""/>
      <w:lvlJc w:val="left"/>
      <w:pPr>
        <w:ind w:left="3470" w:hanging="360"/>
      </w:pPr>
      <w:rPr>
        <w:rFonts w:ascii="Wingdings" w:hAnsi="Wingdings" w:hint="default"/>
      </w:rPr>
    </w:lvl>
    <w:lvl w:ilvl="6" w:tplc="18090001" w:tentative="1">
      <w:start w:val="1"/>
      <w:numFmt w:val="bullet"/>
      <w:lvlText w:val=""/>
      <w:lvlJc w:val="left"/>
      <w:pPr>
        <w:ind w:left="4190" w:hanging="360"/>
      </w:pPr>
      <w:rPr>
        <w:rFonts w:ascii="Symbol" w:hAnsi="Symbol" w:hint="default"/>
      </w:rPr>
    </w:lvl>
    <w:lvl w:ilvl="7" w:tplc="18090003" w:tentative="1">
      <w:start w:val="1"/>
      <w:numFmt w:val="bullet"/>
      <w:lvlText w:val="o"/>
      <w:lvlJc w:val="left"/>
      <w:pPr>
        <w:ind w:left="4910" w:hanging="360"/>
      </w:pPr>
      <w:rPr>
        <w:rFonts w:ascii="Courier New" w:hAnsi="Courier New" w:cs="Courier New" w:hint="default"/>
      </w:rPr>
    </w:lvl>
    <w:lvl w:ilvl="8" w:tplc="18090005" w:tentative="1">
      <w:start w:val="1"/>
      <w:numFmt w:val="bullet"/>
      <w:lvlText w:val=""/>
      <w:lvlJc w:val="left"/>
      <w:pPr>
        <w:ind w:left="5630" w:hanging="360"/>
      </w:pPr>
      <w:rPr>
        <w:rFonts w:ascii="Wingdings" w:hAnsi="Wingdings" w:hint="default"/>
      </w:rPr>
    </w:lvl>
  </w:abstractNum>
  <w:abstractNum w:abstractNumId="10" w15:restartNumberingAfterBreak="0">
    <w:nsid w:val="4B751D57"/>
    <w:multiLevelType w:val="hybridMultilevel"/>
    <w:tmpl w:val="8A44F33E"/>
    <w:lvl w:ilvl="0" w:tplc="9A0C6A9E">
      <w:numFmt w:val="bullet"/>
      <w:lvlText w:val="•"/>
      <w:lvlJc w:val="left"/>
      <w:pPr>
        <w:ind w:left="-130" w:hanging="360"/>
      </w:pPr>
      <w:rPr>
        <w:rFonts w:ascii="Calibri" w:eastAsiaTheme="minorHAnsi" w:hAnsi="Calibri" w:cs="Calibri" w:hint="default"/>
        <w:color w:val="auto"/>
      </w:rPr>
    </w:lvl>
    <w:lvl w:ilvl="1" w:tplc="FFFFFFFF" w:tentative="1">
      <w:start w:val="1"/>
      <w:numFmt w:val="bullet"/>
      <w:lvlText w:val="o"/>
      <w:lvlJc w:val="left"/>
      <w:pPr>
        <w:ind w:left="590" w:hanging="360"/>
      </w:pPr>
      <w:rPr>
        <w:rFonts w:ascii="Courier New" w:hAnsi="Courier New" w:cs="Courier New" w:hint="default"/>
      </w:rPr>
    </w:lvl>
    <w:lvl w:ilvl="2" w:tplc="FFFFFFFF" w:tentative="1">
      <w:start w:val="1"/>
      <w:numFmt w:val="bullet"/>
      <w:lvlText w:val=""/>
      <w:lvlJc w:val="left"/>
      <w:pPr>
        <w:ind w:left="1310" w:hanging="360"/>
      </w:pPr>
      <w:rPr>
        <w:rFonts w:ascii="Wingdings" w:hAnsi="Wingdings" w:hint="default"/>
      </w:rPr>
    </w:lvl>
    <w:lvl w:ilvl="3" w:tplc="FFFFFFFF" w:tentative="1">
      <w:start w:val="1"/>
      <w:numFmt w:val="bullet"/>
      <w:lvlText w:val=""/>
      <w:lvlJc w:val="left"/>
      <w:pPr>
        <w:ind w:left="2030" w:hanging="360"/>
      </w:pPr>
      <w:rPr>
        <w:rFonts w:ascii="Symbol" w:hAnsi="Symbol" w:hint="default"/>
      </w:rPr>
    </w:lvl>
    <w:lvl w:ilvl="4" w:tplc="FFFFFFFF" w:tentative="1">
      <w:start w:val="1"/>
      <w:numFmt w:val="bullet"/>
      <w:lvlText w:val="o"/>
      <w:lvlJc w:val="left"/>
      <w:pPr>
        <w:ind w:left="2750" w:hanging="360"/>
      </w:pPr>
      <w:rPr>
        <w:rFonts w:ascii="Courier New" w:hAnsi="Courier New" w:cs="Courier New" w:hint="default"/>
      </w:rPr>
    </w:lvl>
    <w:lvl w:ilvl="5" w:tplc="FFFFFFFF" w:tentative="1">
      <w:start w:val="1"/>
      <w:numFmt w:val="bullet"/>
      <w:lvlText w:val=""/>
      <w:lvlJc w:val="left"/>
      <w:pPr>
        <w:ind w:left="3470" w:hanging="360"/>
      </w:pPr>
      <w:rPr>
        <w:rFonts w:ascii="Wingdings" w:hAnsi="Wingdings" w:hint="default"/>
      </w:rPr>
    </w:lvl>
    <w:lvl w:ilvl="6" w:tplc="FFFFFFFF" w:tentative="1">
      <w:start w:val="1"/>
      <w:numFmt w:val="bullet"/>
      <w:lvlText w:val=""/>
      <w:lvlJc w:val="left"/>
      <w:pPr>
        <w:ind w:left="4190" w:hanging="360"/>
      </w:pPr>
      <w:rPr>
        <w:rFonts w:ascii="Symbol" w:hAnsi="Symbol" w:hint="default"/>
      </w:rPr>
    </w:lvl>
    <w:lvl w:ilvl="7" w:tplc="FFFFFFFF" w:tentative="1">
      <w:start w:val="1"/>
      <w:numFmt w:val="bullet"/>
      <w:lvlText w:val="o"/>
      <w:lvlJc w:val="left"/>
      <w:pPr>
        <w:ind w:left="4910" w:hanging="360"/>
      </w:pPr>
      <w:rPr>
        <w:rFonts w:ascii="Courier New" w:hAnsi="Courier New" w:cs="Courier New" w:hint="default"/>
      </w:rPr>
    </w:lvl>
    <w:lvl w:ilvl="8" w:tplc="FFFFFFFF" w:tentative="1">
      <w:start w:val="1"/>
      <w:numFmt w:val="bullet"/>
      <w:lvlText w:val=""/>
      <w:lvlJc w:val="left"/>
      <w:pPr>
        <w:ind w:left="5630" w:hanging="360"/>
      </w:pPr>
      <w:rPr>
        <w:rFonts w:ascii="Wingdings" w:hAnsi="Wingdings" w:hint="default"/>
      </w:rPr>
    </w:lvl>
  </w:abstractNum>
  <w:abstractNum w:abstractNumId="11" w15:restartNumberingAfterBreak="0">
    <w:nsid w:val="58E74E79"/>
    <w:multiLevelType w:val="hybridMultilevel"/>
    <w:tmpl w:val="5B60CC0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2" w15:restartNumberingAfterBreak="0">
    <w:nsid w:val="5D3A552D"/>
    <w:multiLevelType w:val="hybridMultilevel"/>
    <w:tmpl w:val="B0B49D9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3" w15:restartNumberingAfterBreak="0">
    <w:nsid w:val="6EA44BD9"/>
    <w:multiLevelType w:val="hybridMultilevel"/>
    <w:tmpl w:val="D3F85ED4"/>
    <w:lvl w:ilvl="0" w:tplc="D472CB04">
      <w:start w:val="6"/>
      <w:numFmt w:val="decimal"/>
      <w:lvlText w:val="%1"/>
      <w:lvlJc w:val="left"/>
      <w:pPr>
        <w:ind w:left="-130" w:hanging="360"/>
      </w:pPr>
      <w:rPr>
        <w:rFonts w:hint="default"/>
      </w:rPr>
    </w:lvl>
    <w:lvl w:ilvl="1" w:tplc="18090019" w:tentative="1">
      <w:start w:val="1"/>
      <w:numFmt w:val="lowerLetter"/>
      <w:lvlText w:val="%2."/>
      <w:lvlJc w:val="left"/>
      <w:pPr>
        <w:ind w:left="590" w:hanging="360"/>
      </w:pPr>
    </w:lvl>
    <w:lvl w:ilvl="2" w:tplc="1809001B" w:tentative="1">
      <w:start w:val="1"/>
      <w:numFmt w:val="lowerRoman"/>
      <w:lvlText w:val="%3."/>
      <w:lvlJc w:val="right"/>
      <w:pPr>
        <w:ind w:left="1310" w:hanging="180"/>
      </w:pPr>
    </w:lvl>
    <w:lvl w:ilvl="3" w:tplc="1809000F" w:tentative="1">
      <w:start w:val="1"/>
      <w:numFmt w:val="decimal"/>
      <w:lvlText w:val="%4."/>
      <w:lvlJc w:val="left"/>
      <w:pPr>
        <w:ind w:left="2030" w:hanging="360"/>
      </w:pPr>
    </w:lvl>
    <w:lvl w:ilvl="4" w:tplc="18090019" w:tentative="1">
      <w:start w:val="1"/>
      <w:numFmt w:val="lowerLetter"/>
      <w:lvlText w:val="%5."/>
      <w:lvlJc w:val="left"/>
      <w:pPr>
        <w:ind w:left="2750" w:hanging="360"/>
      </w:pPr>
    </w:lvl>
    <w:lvl w:ilvl="5" w:tplc="1809001B" w:tentative="1">
      <w:start w:val="1"/>
      <w:numFmt w:val="lowerRoman"/>
      <w:lvlText w:val="%6."/>
      <w:lvlJc w:val="right"/>
      <w:pPr>
        <w:ind w:left="3470" w:hanging="180"/>
      </w:pPr>
    </w:lvl>
    <w:lvl w:ilvl="6" w:tplc="1809000F" w:tentative="1">
      <w:start w:val="1"/>
      <w:numFmt w:val="decimal"/>
      <w:lvlText w:val="%7."/>
      <w:lvlJc w:val="left"/>
      <w:pPr>
        <w:ind w:left="4190" w:hanging="360"/>
      </w:pPr>
    </w:lvl>
    <w:lvl w:ilvl="7" w:tplc="18090019" w:tentative="1">
      <w:start w:val="1"/>
      <w:numFmt w:val="lowerLetter"/>
      <w:lvlText w:val="%8."/>
      <w:lvlJc w:val="left"/>
      <w:pPr>
        <w:ind w:left="4910" w:hanging="360"/>
      </w:pPr>
    </w:lvl>
    <w:lvl w:ilvl="8" w:tplc="1809001B" w:tentative="1">
      <w:start w:val="1"/>
      <w:numFmt w:val="lowerRoman"/>
      <w:lvlText w:val="%9."/>
      <w:lvlJc w:val="right"/>
      <w:pPr>
        <w:ind w:left="5630" w:hanging="180"/>
      </w:pPr>
    </w:lvl>
  </w:abstractNum>
  <w:abstractNum w:abstractNumId="14" w15:restartNumberingAfterBreak="0">
    <w:nsid w:val="77721B54"/>
    <w:multiLevelType w:val="hybridMultilevel"/>
    <w:tmpl w:val="6232867A"/>
    <w:lvl w:ilvl="0" w:tplc="24B0D066">
      <w:numFmt w:val="bullet"/>
      <w:lvlText w:val="-"/>
      <w:lvlJc w:val="left"/>
      <w:pPr>
        <w:ind w:left="360" w:hanging="360"/>
      </w:pPr>
      <w:rPr>
        <w:rFonts w:ascii="Calibri" w:eastAsiaTheme="minorHAnsi" w:hAnsi="Calibri" w:cs="Calibri"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14"/>
  </w:num>
  <w:num w:numId="2">
    <w:abstractNumId w:val="8"/>
  </w:num>
  <w:num w:numId="3">
    <w:abstractNumId w:val="7"/>
  </w:num>
  <w:num w:numId="4">
    <w:abstractNumId w:val="11"/>
  </w:num>
  <w:num w:numId="5">
    <w:abstractNumId w:val="12"/>
  </w:num>
  <w:num w:numId="6">
    <w:abstractNumId w:val="1"/>
  </w:num>
  <w:num w:numId="7">
    <w:abstractNumId w:val="2"/>
  </w:num>
  <w:num w:numId="8">
    <w:abstractNumId w:val="10"/>
  </w:num>
  <w:num w:numId="9">
    <w:abstractNumId w:val="4"/>
  </w:num>
  <w:num w:numId="10">
    <w:abstractNumId w:val="9"/>
  </w:num>
  <w:num w:numId="11">
    <w:abstractNumId w:val="0"/>
  </w:num>
  <w:num w:numId="12">
    <w:abstractNumId w:val="6"/>
  </w:num>
  <w:num w:numId="13">
    <w:abstractNumId w:val="13"/>
  </w:num>
  <w:num w:numId="14">
    <w:abstractNumId w:val="5"/>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4EB"/>
    <w:rsid w:val="0000306B"/>
    <w:rsid w:val="00003476"/>
    <w:rsid w:val="00003E5C"/>
    <w:rsid w:val="00005D22"/>
    <w:rsid w:val="00010692"/>
    <w:rsid w:val="0001103A"/>
    <w:rsid w:val="00013A87"/>
    <w:rsid w:val="00014A27"/>
    <w:rsid w:val="00014B92"/>
    <w:rsid w:val="00015B93"/>
    <w:rsid w:val="00015C77"/>
    <w:rsid w:val="0002252B"/>
    <w:rsid w:val="00042EF7"/>
    <w:rsid w:val="000451B9"/>
    <w:rsid w:val="00047575"/>
    <w:rsid w:val="00052055"/>
    <w:rsid w:val="00060253"/>
    <w:rsid w:val="00065D01"/>
    <w:rsid w:val="000672B7"/>
    <w:rsid w:val="00072D58"/>
    <w:rsid w:val="0007426C"/>
    <w:rsid w:val="000742A8"/>
    <w:rsid w:val="00084B13"/>
    <w:rsid w:val="0008688F"/>
    <w:rsid w:val="00087372"/>
    <w:rsid w:val="00087F1A"/>
    <w:rsid w:val="00091B9D"/>
    <w:rsid w:val="00096A94"/>
    <w:rsid w:val="000A5412"/>
    <w:rsid w:val="000B6216"/>
    <w:rsid w:val="000C4B9C"/>
    <w:rsid w:val="000D4882"/>
    <w:rsid w:val="000E0C03"/>
    <w:rsid w:val="000E232A"/>
    <w:rsid w:val="000E417B"/>
    <w:rsid w:val="000F1B5D"/>
    <w:rsid w:val="000F73EC"/>
    <w:rsid w:val="00103E80"/>
    <w:rsid w:val="00106E06"/>
    <w:rsid w:val="0010767D"/>
    <w:rsid w:val="0011089A"/>
    <w:rsid w:val="001118E5"/>
    <w:rsid w:val="00117CCA"/>
    <w:rsid w:val="00122CFB"/>
    <w:rsid w:val="0012387F"/>
    <w:rsid w:val="00131375"/>
    <w:rsid w:val="00131A2C"/>
    <w:rsid w:val="00136746"/>
    <w:rsid w:val="00141A75"/>
    <w:rsid w:val="0014241A"/>
    <w:rsid w:val="00142B03"/>
    <w:rsid w:val="001449CF"/>
    <w:rsid w:val="00144EAC"/>
    <w:rsid w:val="0014595A"/>
    <w:rsid w:val="00155703"/>
    <w:rsid w:val="00176ADA"/>
    <w:rsid w:val="00177ECC"/>
    <w:rsid w:val="0018734E"/>
    <w:rsid w:val="001928B0"/>
    <w:rsid w:val="001960EB"/>
    <w:rsid w:val="001A1F99"/>
    <w:rsid w:val="001A361D"/>
    <w:rsid w:val="001B16DB"/>
    <w:rsid w:val="001B587C"/>
    <w:rsid w:val="001C4588"/>
    <w:rsid w:val="001C4C04"/>
    <w:rsid w:val="001D3205"/>
    <w:rsid w:val="001D32F0"/>
    <w:rsid w:val="001D4316"/>
    <w:rsid w:val="001F19F4"/>
    <w:rsid w:val="001F265C"/>
    <w:rsid w:val="001F4FD8"/>
    <w:rsid w:val="001F64A2"/>
    <w:rsid w:val="002005CC"/>
    <w:rsid w:val="00206094"/>
    <w:rsid w:val="00210CE7"/>
    <w:rsid w:val="002121A1"/>
    <w:rsid w:val="002121EA"/>
    <w:rsid w:val="00214E94"/>
    <w:rsid w:val="00223384"/>
    <w:rsid w:val="00223839"/>
    <w:rsid w:val="00223965"/>
    <w:rsid w:val="00226A3C"/>
    <w:rsid w:val="0023550F"/>
    <w:rsid w:val="002358F4"/>
    <w:rsid w:val="00235BF1"/>
    <w:rsid w:val="00235F5E"/>
    <w:rsid w:val="0023779A"/>
    <w:rsid w:val="00243E8F"/>
    <w:rsid w:val="00244D4E"/>
    <w:rsid w:val="00250B57"/>
    <w:rsid w:val="00255E1A"/>
    <w:rsid w:val="00257105"/>
    <w:rsid w:val="00265879"/>
    <w:rsid w:val="002754CA"/>
    <w:rsid w:val="00286FFD"/>
    <w:rsid w:val="0029208E"/>
    <w:rsid w:val="002A05BF"/>
    <w:rsid w:val="002A252F"/>
    <w:rsid w:val="002A6EC0"/>
    <w:rsid w:val="002A73E6"/>
    <w:rsid w:val="002B10E1"/>
    <w:rsid w:val="002B16E1"/>
    <w:rsid w:val="002B5A52"/>
    <w:rsid w:val="002B5EF8"/>
    <w:rsid w:val="002C0AFF"/>
    <w:rsid w:val="002D0F12"/>
    <w:rsid w:val="002D1F24"/>
    <w:rsid w:val="002D2E23"/>
    <w:rsid w:val="002E3200"/>
    <w:rsid w:val="002E4535"/>
    <w:rsid w:val="002E6A4D"/>
    <w:rsid w:val="003028D6"/>
    <w:rsid w:val="00312536"/>
    <w:rsid w:val="00312D50"/>
    <w:rsid w:val="003161D8"/>
    <w:rsid w:val="0032464C"/>
    <w:rsid w:val="0033543D"/>
    <w:rsid w:val="0034117E"/>
    <w:rsid w:val="00346418"/>
    <w:rsid w:val="00350DA6"/>
    <w:rsid w:val="0035436E"/>
    <w:rsid w:val="00355CA7"/>
    <w:rsid w:val="003656F1"/>
    <w:rsid w:val="003659E8"/>
    <w:rsid w:val="00377821"/>
    <w:rsid w:val="00381948"/>
    <w:rsid w:val="00397ED5"/>
    <w:rsid w:val="003A3721"/>
    <w:rsid w:val="003A7267"/>
    <w:rsid w:val="003B225F"/>
    <w:rsid w:val="003B65FE"/>
    <w:rsid w:val="003C023F"/>
    <w:rsid w:val="003C23A7"/>
    <w:rsid w:val="003D0D22"/>
    <w:rsid w:val="003D25FC"/>
    <w:rsid w:val="003D630C"/>
    <w:rsid w:val="003F39AB"/>
    <w:rsid w:val="003F51C7"/>
    <w:rsid w:val="003F5B3A"/>
    <w:rsid w:val="003F6F46"/>
    <w:rsid w:val="00407AD0"/>
    <w:rsid w:val="0041620B"/>
    <w:rsid w:val="00421687"/>
    <w:rsid w:val="0042428C"/>
    <w:rsid w:val="0042627F"/>
    <w:rsid w:val="004279E0"/>
    <w:rsid w:val="0043008E"/>
    <w:rsid w:val="004325DA"/>
    <w:rsid w:val="00433D45"/>
    <w:rsid w:val="00435F90"/>
    <w:rsid w:val="004421FF"/>
    <w:rsid w:val="00443EE2"/>
    <w:rsid w:val="00445B96"/>
    <w:rsid w:val="00446E1F"/>
    <w:rsid w:val="004552CB"/>
    <w:rsid w:val="00464AE9"/>
    <w:rsid w:val="0047026A"/>
    <w:rsid w:val="0047441C"/>
    <w:rsid w:val="00477976"/>
    <w:rsid w:val="00477DD1"/>
    <w:rsid w:val="00483113"/>
    <w:rsid w:val="00490197"/>
    <w:rsid w:val="004921CC"/>
    <w:rsid w:val="004A2908"/>
    <w:rsid w:val="004A294D"/>
    <w:rsid w:val="004B008F"/>
    <w:rsid w:val="004C0502"/>
    <w:rsid w:val="004C3AA0"/>
    <w:rsid w:val="004D12D5"/>
    <w:rsid w:val="004D27A6"/>
    <w:rsid w:val="004E4EFD"/>
    <w:rsid w:val="004E6458"/>
    <w:rsid w:val="004F107A"/>
    <w:rsid w:val="00501FB1"/>
    <w:rsid w:val="00502DBD"/>
    <w:rsid w:val="0051015A"/>
    <w:rsid w:val="005134D0"/>
    <w:rsid w:val="0051565B"/>
    <w:rsid w:val="00515D6C"/>
    <w:rsid w:val="00516CDE"/>
    <w:rsid w:val="005170E4"/>
    <w:rsid w:val="0052514F"/>
    <w:rsid w:val="00532494"/>
    <w:rsid w:val="005341D9"/>
    <w:rsid w:val="00535714"/>
    <w:rsid w:val="00540FA7"/>
    <w:rsid w:val="00545AFF"/>
    <w:rsid w:val="005476AE"/>
    <w:rsid w:val="00550AB0"/>
    <w:rsid w:val="0055202D"/>
    <w:rsid w:val="005551B3"/>
    <w:rsid w:val="00570DA1"/>
    <w:rsid w:val="00575D76"/>
    <w:rsid w:val="00585D1C"/>
    <w:rsid w:val="00590B99"/>
    <w:rsid w:val="00594D1F"/>
    <w:rsid w:val="005A2291"/>
    <w:rsid w:val="005A7928"/>
    <w:rsid w:val="005C7903"/>
    <w:rsid w:val="005D2406"/>
    <w:rsid w:val="005D3505"/>
    <w:rsid w:val="005D544D"/>
    <w:rsid w:val="005D74C6"/>
    <w:rsid w:val="005E3C2B"/>
    <w:rsid w:val="005F22BE"/>
    <w:rsid w:val="006003A7"/>
    <w:rsid w:val="0060368B"/>
    <w:rsid w:val="006131CE"/>
    <w:rsid w:val="00615DB3"/>
    <w:rsid w:val="00621BF4"/>
    <w:rsid w:val="00625D4D"/>
    <w:rsid w:val="00626747"/>
    <w:rsid w:val="00626EF6"/>
    <w:rsid w:val="0063059C"/>
    <w:rsid w:val="006343C4"/>
    <w:rsid w:val="006373D3"/>
    <w:rsid w:val="00640F52"/>
    <w:rsid w:val="00641227"/>
    <w:rsid w:val="006567EF"/>
    <w:rsid w:val="00660A64"/>
    <w:rsid w:val="00670D39"/>
    <w:rsid w:val="006710C2"/>
    <w:rsid w:val="0067346A"/>
    <w:rsid w:val="00673666"/>
    <w:rsid w:val="00673A39"/>
    <w:rsid w:val="00673DE2"/>
    <w:rsid w:val="00682DB2"/>
    <w:rsid w:val="00686348"/>
    <w:rsid w:val="00686C2E"/>
    <w:rsid w:val="00686D0B"/>
    <w:rsid w:val="00691928"/>
    <w:rsid w:val="006921C0"/>
    <w:rsid w:val="006942E2"/>
    <w:rsid w:val="006A370F"/>
    <w:rsid w:val="006B198E"/>
    <w:rsid w:val="006B22BC"/>
    <w:rsid w:val="006B791C"/>
    <w:rsid w:val="006C0BCB"/>
    <w:rsid w:val="006C6028"/>
    <w:rsid w:val="006C6286"/>
    <w:rsid w:val="006C7FB4"/>
    <w:rsid w:val="006D3C0F"/>
    <w:rsid w:val="006D5920"/>
    <w:rsid w:val="006E0513"/>
    <w:rsid w:val="006E4FB4"/>
    <w:rsid w:val="006F31B8"/>
    <w:rsid w:val="006F3D5C"/>
    <w:rsid w:val="00700A77"/>
    <w:rsid w:val="00700AE4"/>
    <w:rsid w:val="00712BDE"/>
    <w:rsid w:val="0071448C"/>
    <w:rsid w:val="007200BB"/>
    <w:rsid w:val="00724E19"/>
    <w:rsid w:val="00724F80"/>
    <w:rsid w:val="00725828"/>
    <w:rsid w:val="00731D91"/>
    <w:rsid w:val="00733297"/>
    <w:rsid w:val="00733E2F"/>
    <w:rsid w:val="0073619E"/>
    <w:rsid w:val="00737924"/>
    <w:rsid w:val="00741BD7"/>
    <w:rsid w:val="00741CCF"/>
    <w:rsid w:val="00744875"/>
    <w:rsid w:val="00751470"/>
    <w:rsid w:val="00751F28"/>
    <w:rsid w:val="0077012D"/>
    <w:rsid w:val="00772FBD"/>
    <w:rsid w:val="00773A60"/>
    <w:rsid w:val="00773E7D"/>
    <w:rsid w:val="007813AE"/>
    <w:rsid w:val="00792287"/>
    <w:rsid w:val="007A1A17"/>
    <w:rsid w:val="007A1E9F"/>
    <w:rsid w:val="007A3E01"/>
    <w:rsid w:val="007B47C4"/>
    <w:rsid w:val="007D0F03"/>
    <w:rsid w:val="007E7C34"/>
    <w:rsid w:val="007F0BD7"/>
    <w:rsid w:val="007F5693"/>
    <w:rsid w:val="008012BB"/>
    <w:rsid w:val="00801772"/>
    <w:rsid w:val="00801BDA"/>
    <w:rsid w:val="00802922"/>
    <w:rsid w:val="00815A0F"/>
    <w:rsid w:val="00817AE5"/>
    <w:rsid w:val="00820925"/>
    <w:rsid w:val="008213D5"/>
    <w:rsid w:val="008258C0"/>
    <w:rsid w:val="00833AD9"/>
    <w:rsid w:val="008359D4"/>
    <w:rsid w:val="00845600"/>
    <w:rsid w:val="00854605"/>
    <w:rsid w:val="00855903"/>
    <w:rsid w:val="00856623"/>
    <w:rsid w:val="00856659"/>
    <w:rsid w:val="00857502"/>
    <w:rsid w:val="00857712"/>
    <w:rsid w:val="00862043"/>
    <w:rsid w:val="00863F3C"/>
    <w:rsid w:val="0086612A"/>
    <w:rsid w:val="00871AE8"/>
    <w:rsid w:val="0087209D"/>
    <w:rsid w:val="008727A6"/>
    <w:rsid w:val="0087338A"/>
    <w:rsid w:val="008733DC"/>
    <w:rsid w:val="00875BE8"/>
    <w:rsid w:val="00876720"/>
    <w:rsid w:val="00876917"/>
    <w:rsid w:val="00884D98"/>
    <w:rsid w:val="00886096"/>
    <w:rsid w:val="00891B7A"/>
    <w:rsid w:val="00891C17"/>
    <w:rsid w:val="008A13C3"/>
    <w:rsid w:val="008A1441"/>
    <w:rsid w:val="008A3908"/>
    <w:rsid w:val="008B4417"/>
    <w:rsid w:val="008C222F"/>
    <w:rsid w:val="008D2294"/>
    <w:rsid w:val="008D6D3A"/>
    <w:rsid w:val="008F375C"/>
    <w:rsid w:val="00900F31"/>
    <w:rsid w:val="00904722"/>
    <w:rsid w:val="009065EC"/>
    <w:rsid w:val="0090787D"/>
    <w:rsid w:val="00911155"/>
    <w:rsid w:val="00913251"/>
    <w:rsid w:val="00917898"/>
    <w:rsid w:val="00926BAA"/>
    <w:rsid w:val="009345DB"/>
    <w:rsid w:val="009441D0"/>
    <w:rsid w:val="00945DDC"/>
    <w:rsid w:val="00950C36"/>
    <w:rsid w:val="00950E7B"/>
    <w:rsid w:val="009514E5"/>
    <w:rsid w:val="009545C9"/>
    <w:rsid w:val="0096655E"/>
    <w:rsid w:val="009737C5"/>
    <w:rsid w:val="00975390"/>
    <w:rsid w:val="0098446D"/>
    <w:rsid w:val="00984B8C"/>
    <w:rsid w:val="009851AB"/>
    <w:rsid w:val="00986CCD"/>
    <w:rsid w:val="0099451A"/>
    <w:rsid w:val="00995B86"/>
    <w:rsid w:val="00996835"/>
    <w:rsid w:val="009A00C0"/>
    <w:rsid w:val="009A1550"/>
    <w:rsid w:val="009A6940"/>
    <w:rsid w:val="009A6CCD"/>
    <w:rsid w:val="009A7590"/>
    <w:rsid w:val="009B64EB"/>
    <w:rsid w:val="009C5FF0"/>
    <w:rsid w:val="009C610F"/>
    <w:rsid w:val="009D4A50"/>
    <w:rsid w:val="009D79D2"/>
    <w:rsid w:val="009E5614"/>
    <w:rsid w:val="009F0834"/>
    <w:rsid w:val="009F2547"/>
    <w:rsid w:val="009F35D8"/>
    <w:rsid w:val="009F5AF0"/>
    <w:rsid w:val="009F671A"/>
    <w:rsid w:val="00A06A28"/>
    <w:rsid w:val="00A13231"/>
    <w:rsid w:val="00A170FE"/>
    <w:rsid w:val="00A24DA4"/>
    <w:rsid w:val="00A24F3D"/>
    <w:rsid w:val="00A338A6"/>
    <w:rsid w:val="00A34567"/>
    <w:rsid w:val="00A37647"/>
    <w:rsid w:val="00A4073C"/>
    <w:rsid w:val="00A40EEB"/>
    <w:rsid w:val="00A44D25"/>
    <w:rsid w:val="00A47A2C"/>
    <w:rsid w:val="00A5076A"/>
    <w:rsid w:val="00A509D0"/>
    <w:rsid w:val="00A50C85"/>
    <w:rsid w:val="00A55217"/>
    <w:rsid w:val="00A606B1"/>
    <w:rsid w:val="00A633B1"/>
    <w:rsid w:val="00A65861"/>
    <w:rsid w:val="00A673A9"/>
    <w:rsid w:val="00A7080A"/>
    <w:rsid w:val="00A70CD7"/>
    <w:rsid w:val="00A71F72"/>
    <w:rsid w:val="00A7605F"/>
    <w:rsid w:val="00A81497"/>
    <w:rsid w:val="00A82433"/>
    <w:rsid w:val="00A828E8"/>
    <w:rsid w:val="00A85B68"/>
    <w:rsid w:val="00AA0437"/>
    <w:rsid w:val="00AA0688"/>
    <w:rsid w:val="00AA6086"/>
    <w:rsid w:val="00AA7D30"/>
    <w:rsid w:val="00AB1F87"/>
    <w:rsid w:val="00AB44C1"/>
    <w:rsid w:val="00AB5655"/>
    <w:rsid w:val="00AD536D"/>
    <w:rsid w:val="00AE1A56"/>
    <w:rsid w:val="00AE339D"/>
    <w:rsid w:val="00AE43A1"/>
    <w:rsid w:val="00AE48EA"/>
    <w:rsid w:val="00AF409E"/>
    <w:rsid w:val="00AF4E62"/>
    <w:rsid w:val="00B0036A"/>
    <w:rsid w:val="00B02E0B"/>
    <w:rsid w:val="00B036A9"/>
    <w:rsid w:val="00B078A0"/>
    <w:rsid w:val="00B15E97"/>
    <w:rsid w:val="00B20B9A"/>
    <w:rsid w:val="00B22FC5"/>
    <w:rsid w:val="00B2677E"/>
    <w:rsid w:val="00B32385"/>
    <w:rsid w:val="00B34B9E"/>
    <w:rsid w:val="00B358CE"/>
    <w:rsid w:val="00B43CA2"/>
    <w:rsid w:val="00B46446"/>
    <w:rsid w:val="00B61DF8"/>
    <w:rsid w:val="00B6205E"/>
    <w:rsid w:val="00B62117"/>
    <w:rsid w:val="00B62A07"/>
    <w:rsid w:val="00B7060A"/>
    <w:rsid w:val="00B72808"/>
    <w:rsid w:val="00B74B06"/>
    <w:rsid w:val="00B75348"/>
    <w:rsid w:val="00B81E86"/>
    <w:rsid w:val="00B85A5A"/>
    <w:rsid w:val="00B932EB"/>
    <w:rsid w:val="00B93DC0"/>
    <w:rsid w:val="00BA0B57"/>
    <w:rsid w:val="00BA5D32"/>
    <w:rsid w:val="00BC33A0"/>
    <w:rsid w:val="00BC43F1"/>
    <w:rsid w:val="00BC6959"/>
    <w:rsid w:val="00BC79D8"/>
    <w:rsid w:val="00BD348F"/>
    <w:rsid w:val="00BD39E1"/>
    <w:rsid w:val="00BD6C71"/>
    <w:rsid w:val="00BE1525"/>
    <w:rsid w:val="00BE42EF"/>
    <w:rsid w:val="00BF48DD"/>
    <w:rsid w:val="00BF67E7"/>
    <w:rsid w:val="00C03B4F"/>
    <w:rsid w:val="00C05501"/>
    <w:rsid w:val="00C10B30"/>
    <w:rsid w:val="00C11641"/>
    <w:rsid w:val="00C11708"/>
    <w:rsid w:val="00C2047F"/>
    <w:rsid w:val="00C22294"/>
    <w:rsid w:val="00C27043"/>
    <w:rsid w:val="00C270DB"/>
    <w:rsid w:val="00C30F1D"/>
    <w:rsid w:val="00C31CB0"/>
    <w:rsid w:val="00C41247"/>
    <w:rsid w:val="00C45338"/>
    <w:rsid w:val="00C603E1"/>
    <w:rsid w:val="00C61E73"/>
    <w:rsid w:val="00C62844"/>
    <w:rsid w:val="00C63125"/>
    <w:rsid w:val="00C6400A"/>
    <w:rsid w:val="00C642E4"/>
    <w:rsid w:val="00C664DD"/>
    <w:rsid w:val="00C70614"/>
    <w:rsid w:val="00C76014"/>
    <w:rsid w:val="00C878D7"/>
    <w:rsid w:val="00C90FD8"/>
    <w:rsid w:val="00C96825"/>
    <w:rsid w:val="00CA4370"/>
    <w:rsid w:val="00CA733D"/>
    <w:rsid w:val="00CB11CC"/>
    <w:rsid w:val="00CC0FD2"/>
    <w:rsid w:val="00CC77C4"/>
    <w:rsid w:val="00CD0EAE"/>
    <w:rsid w:val="00CD3287"/>
    <w:rsid w:val="00CE55CE"/>
    <w:rsid w:val="00CF1595"/>
    <w:rsid w:val="00CF3A4A"/>
    <w:rsid w:val="00CF3F1A"/>
    <w:rsid w:val="00CF6D8E"/>
    <w:rsid w:val="00CF7CF1"/>
    <w:rsid w:val="00CF7E2F"/>
    <w:rsid w:val="00D0597F"/>
    <w:rsid w:val="00D06C6C"/>
    <w:rsid w:val="00D12497"/>
    <w:rsid w:val="00D12643"/>
    <w:rsid w:val="00D14EE8"/>
    <w:rsid w:val="00D15BFB"/>
    <w:rsid w:val="00D16047"/>
    <w:rsid w:val="00D23223"/>
    <w:rsid w:val="00D43987"/>
    <w:rsid w:val="00D467B7"/>
    <w:rsid w:val="00D516E8"/>
    <w:rsid w:val="00D527C9"/>
    <w:rsid w:val="00D61248"/>
    <w:rsid w:val="00D73619"/>
    <w:rsid w:val="00D8032A"/>
    <w:rsid w:val="00D90FAF"/>
    <w:rsid w:val="00DA3B73"/>
    <w:rsid w:val="00DB37F8"/>
    <w:rsid w:val="00DC49F9"/>
    <w:rsid w:val="00DC6C94"/>
    <w:rsid w:val="00DC6F73"/>
    <w:rsid w:val="00DC735E"/>
    <w:rsid w:val="00DC776E"/>
    <w:rsid w:val="00DC7CC4"/>
    <w:rsid w:val="00DD2F01"/>
    <w:rsid w:val="00DD63B5"/>
    <w:rsid w:val="00DD731F"/>
    <w:rsid w:val="00DF0156"/>
    <w:rsid w:val="00DF439C"/>
    <w:rsid w:val="00DF6AF0"/>
    <w:rsid w:val="00E0251D"/>
    <w:rsid w:val="00E03179"/>
    <w:rsid w:val="00E061F6"/>
    <w:rsid w:val="00E07A09"/>
    <w:rsid w:val="00E20C56"/>
    <w:rsid w:val="00E22DC3"/>
    <w:rsid w:val="00E3375B"/>
    <w:rsid w:val="00E33CEA"/>
    <w:rsid w:val="00E41732"/>
    <w:rsid w:val="00E437CB"/>
    <w:rsid w:val="00E47291"/>
    <w:rsid w:val="00E511B8"/>
    <w:rsid w:val="00E532EF"/>
    <w:rsid w:val="00E54C77"/>
    <w:rsid w:val="00E55525"/>
    <w:rsid w:val="00E55F85"/>
    <w:rsid w:val="00E62FB7"/>
    <w:rsid w:val="00E72B2B"/>
    <w:rsid w:val="00E72E4E"/>
    <w:rsid w:val="00E75A92"/>
    <w:rsid w:val="00E75FA4"/>
    <w:rsid w:val="00E77F5F"/>
    <w:rsid w:val="00E80848"/>
    <w:rsid w:val="00E86A3C"/>
    <w:rsid w:val="00E91991"/>
    <w:rsid w:val="00E94E1B"/>
    <w:rsid w:val="00E95439"/>
    <w:rsid w:val="00E97933"/>
    <w:rsid w:val="00EA0EB0"/>
    <w:rsid w:val="00EA33EF"/>
    <w:rsid w:val="00EA3EE5"/>
    <w:rsid w:val="00EA4CAC"/>
    <w:rsid w:val="00EA5BEC"/>
    <w:rsid w:val="00EB16E0"/>
    <w:rsid w:val="00EB4244"/>
    <w:rsid w:val="00EB60B4"/>
    <w:rsid w:val="00EC04CF"/>
    <w:rsid w:val="00EC0F87"/>
    <w:rsid w:val="00EC2B25"/>
    <w:rsid w:val="00ED4EF1"/>
    <w:rsid w:val="00EE0D2A"/>
    <w:rsid w:val="00EE3920"/>
    <w:rsid w:val="00EE485B"/>
    <w:rsid w:val="00EF47CC"/>
    <w:rsid w:val="00EF7CF3"/>
    <w:rsid w:val="00F00247"/>
    <w:rsid w:val="00F00909"/>
    <w:rsid w:val="00F019B8"/>
    <w:rsid w:val="00F03DCC"/>
    <w:rsid w:val="00F0442C"/>
    <w:rsid w:val="00F0638D"/>
    <w:rsid w:val="00F066F1"/>
    <w:rsid w:val="00F11EE7"/>
    <w:rsid w:val="00F21AD8"/>
    <w:rsid w:val="00F25E74"/>
    <w:rsid w:val="00F276FF"/>
    <w:rsid w:val="00F31211"/>
    <w:rsid w:val="00F3368C"/>
    <w:rsid w:val="00F34377"/>
    <w:rsid w:val="00F346C9"/>
    <w:rsid w:val="00F44503"/>
    <w:rsid w:val="00F563D1"/>
    <w:rsid w:val="00F628F3"/>
    <w:rsid w:val="00F6326D"/>
    <w:rsid w:val="00F65131"/>
    <w:rsid w:val="00F7144F"/>
    <w:rsid w:val="00F73FCB"/>
    <w:rsid w:val="00F74AFA"/>
    <w:rsid w:val="00F759FE"/>
    <w:rsid w:val="00F75B3C"/>
    <w:rsid w:val="00F82EDF"/>
    <w:rsid w:val="00F8321E"/>
    <w:rsid w:val="00F942C2"/>
    <w:rsid w:val="00F966E2"/>
    <w:rsid w:val="00FA58C3"/>
    <w:rsid w:val="00FB0891"/>
    <w:rsid w:val="00FB12ED"/>
    <w:rsid w:val="00FB1BA2"/>
    <w:rsid w:val="00FB32E7"/>
    <w:rsid w:val="00FB346F"/>
    <w:rsid w:val="00FC27F6"/>
    <w:rsid w:val="00FD2FCB"/>
    <w:rsid w:val="00FD7997"/>
    <w:rsid w:val="00FD7FD3"/>
    <w:rsid w:val="00FE11C5"/>
    <w:rsid w:val="00FE46C1"/>
    <w:rsid w:val="00FE6969"/>
    <w:rsid w:val="00FF01F9"/>
    <w:rsid w:val="00FF38D7"/>
    <w:rsid w:val="04185A05"/>
    <w:rsid w:val="0493E5B3"/>
    <w:rsid w:val="050D41C8"/>
    <w:rsid w:val="06B92830"/>
    <w:rsid w:val="07A0034C"/>
    <w:rsid w:val="08BA9599"/>
    <w:rsid w:val="08E379F6"/>
    <w:rsid w:val="09305D70"/>
    <w:rsid w:val="0A7F4A57"/>
    <w:rsid w:val="0E3CF058"/>
    <w:rsid w:val="0EA2C086"/>
    <w:rsid w:val="0F9ED4AB"/>
    <w:rsid w:val="10EE901A"/>
    <w:rsid w:val="141F549A"/>
    <w:rsid w:val="1425FEEB"/>
    <w:rsid w:val="15151ED0"/>
    <w:rsid w:val="15767A4A"/>
    <w:rsid w:val="185EC260"/>
    <w:rsid w:val="20924B2A"/>
    <w:rsid w:val="265BE2FA"/>
    <w:rsid w:val="27C7F7E0"/>
    <w:rsid w:val="288A91AC"/>
    <w:rsid w:val="2B03C650"/>
    <w:rsid w:val="2F8F99AE"/>
    <w:rsid w:val="30599DA4"/>
    <w:rsid w:val="3555E037"/>
    <w:rsid w:val="3CC3CE5B"/>
    <w:rsid w:val="3DBDCC85"/>
    <w:rsid w:val="401B5312"/>
    <w:rsid w:val="42B886E5"/>
    <w:rsid w:val="4531D7D1"/>
    <w:rsid w:val="4531F7BA"/>
    <w:rsid w:val="45F563C9"/>
    <w:rsid w:val="46C4CC5E"/>
    <w:rsid w:val="4771E978"/>
    <w:rsid w:val="47A75AFF"/>
    <w:rsid w:val="484F7C19"/>
    <w:rsid w:val="4AB434E1"/>
    <w:rsid w:val="4B1AA55F"/>
    <w:rsid w:val="4E524621"/>
    <w:rsid w:val="4E678954"/>
    <w:rsid w:val="5265B069"/>
    <w:rsid w:val="5325B744"/>
    <w:rsid w:val="565D5806"/>
    <w:rsid w:val="580F5104"/>
    <w:rsid w:val="59B9DD2E"/>
    <w:rsid w:val="5B44F88D"/>
    <w:rsid w:val="5C037639"/>
    <w:rsid w:val="5C0B63BF"/>
    <w:rsid w:val="5D7DCD0B"/>
    <w:rsid w:val="5F430481"/>
    <w:rsid w:val="616568C1"/>
    <w:rsid w:val="63BF16E1"/>
    <w:rsid w:val="6415D6D2"/>
    <w:rsid w:val="645186CF"/>
    <w:rsid w:val="65991DA8"/>
    <w:rsid w:val="68E9E6C7"/>
    <w:rsid w:val="6B6199B9"/>
    <w:rsid w:val="6BDAAEFC"/>
    <w:rsid w:val="6DA42F8D"/>
    <w:rsid w:val="6E2AC36C"/>
    <w:rsid w:val="6F06DDA1"/>
    <w:rsid w:val="7162642E"/>
    <w:rsid w:val="72330C46"/>
    <w:rsid w:val="737CA20F"/>
    <w:rsid w:val="73848C00"/>
    <w:rsid w:val="74F3CEFD"/>
    <w:rsid w:val="75AF4172"/>
    <w:rsid w:val="76679F2F"/>
    <w:rsid w:val="78C568A5"/>
    <w:rsid w:val="7A59317B"/>
    <w:rsid w:val="7AD2D683"/>
    <w:rsid w:val="7C784D97"/>
    <w:rsid w:val="7EE927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334A0F"/>
  <w15:chartTrackingRefBased/>
  <w15:docId w15:val="{AEC7CB6B-E5E4-4E49-84D6-D3F47E271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835"/>
  </w:style>
  <w:style w:type="paragraph" w:styleId="Heading1">
    <w:name w:val="heading 1"/>
    <w:basedOn w:val="Normal"/>
    <w:next w:val="Normal"/>
    <w:link w:val="Heading1Char"/>
    <w:uiPriority w:val="9"/>
    <w:qFormat/>
    <w:rsid w:val="009B64E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BE152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64EB"/>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9B64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4EB"/>
  </w:style>
  <w:style w:type="paragraph" w:styleId="Footer">
    <w:name w:val="footer"/>
    <w:basedOn w:val="Normal"/>
    <w:link w:val="FooterChar"/>
    <w:uiPriority w:val="99"/>
    <w:unhideWhenUsed/>
    <w:rsid w:val="009B64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4EB"/>
  </w:style>
  <w:style w:type="table" w:styleId="TableGrid">
    <w:name w:val="Table Grid"/>
    <w:basedOn w:val="TableNormal"/>
    <w:uiPriority w:val="39"/>
    <w:rsid w:val="001A1F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5">
    <w:name w:val="Grid Table 1 Light Accent 5"/>
    <w:basedOn w:val="TableNormal"/>
    <w:uiPriority w:val="46"/>
    <w:rsid w:val="00407AD0"/>
    <w:pPr>
      <w:spacing w:after="0" w:line="240" w:lineRule="auto"/>
    </w:pPr>
    <w:rPr>
      <w:lang w:val="en-IE"/>
    </w:r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next w:val="GridTable1Light-Accent5"/>
    <w:uiPriority w:val="46"/>
    <w:rsid w:val="00407AD0"/>
    <w:pPr>
      <w:spacing w:after="0" w:line="240" w:lineRule="auto"/>
    </w:pPr>
    <w:rPr>
      <w:lang w:val="en-IE"/>
    </w:r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customStyle="1" w:styleId="GridTable1Light-Accent52">
    <w:name w:val="Grid Table 1 Light - Accent 52"/>
    <w:basedOn w:val="TableNormal"/>
    <w:next w:val="GridTable1Light-Accent5"/>
    <w:uiPriority w:val="46"/>
    <w:rsid w:val="00F6326D"/>
    <w:pPr>
      <w:spacing w:after="0" w:line="240" w:lineRule="auto"/>
    </w:pPr>
    <w:rPr>
      <w:lang w:val="en-IE"/>
    </w:r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customStyle="1" w:styleId="GridTable1Light-Accent53">
    <w:name w:val="Grid Table 1 Light - Accent 53"/>
    <w:basedOn w:val="TableNormal"/>
    <w:next w:val="GridTable1Light-Accent5"/>
    <w:uiPriority w:val="46"/>
    <w:rsid w:val="00BE1525"/>
    <w:pPr>
      <w:spacing w:after="0" w:line="240" w:lineRule="auto"/>
    </w:pPr>
    <w:rPr>
      <w:lang w:val="en-IE"/>
    </w:r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character" w:customStyle="1" w:styleId="Heading2Char">
    <w:name w:val="Heading 2 Char"/>
    <w:basedOn w:val="DefaultParagraphFont"/>
    <w:link w:val="Heading2"/>
    <w:uiPriority w:val="9"/>
    <w:semiHidden/>
    <w:rsid w:val="00BE1525"/>
    <w:rPr>
      <w:rFonts w:asciiTheme="majorHAnsi" w:eastAsiaTheme="majorEastAsia" w:hAnsiTheme="majorHAnsi" w:cstheme="majorBidi"/>
      <w:color w:val="2F5496" w:themeColor="accent1" w:themeShade="BF"/>
      <w:sz w:val="26"/>
      <w:szCs w:val="26"/>
    </w:rPr>
  </w:style>
  <w:style w:type="table" w:customStyle="1" w:styleId="GridTable1Light-Accent54">
    <w:name w:val="Grid Table 1 Light - Accent 54"/>
    <w:basedOn w:val="TableNormal"/>
    <w:next w:val="GridTable1Light-Accent5"/>
    <w:uiPriority w:val="46"/>
    <w:rsid w:val="00BE1525"/>
    <w:pPr>
      <w:spacing w:after="0" w:line="240" w:lineRule="auto"/>
    </w:pPr>
    <w:rPr>
      <w:lang w:val="en-IE"/>
    </w:r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character" w:styleId="Hyperlink">
    <w:name w:val="Hyperlink"/>
    <w:basedOn w:val="DefaultParagraphFont"/>
    <w:uiPriority w:val="99"/>
    <w:unhideWhenUsed/>
    <w:rsid w:val="0041620B"/>
    <w:rPr>
      <w:color w:val="0563C1" w:themeColor="hyperlink"/>
      <w:u w:val="single"/>
    </w:rPr>
  </w:style>
  <w:style w:type="character" w:styleId="UnresolvedMention">
    <w:name w:val="Unresolved Mention"/>
    <w:basedOn w:val="DefaultParagraphFont"/>
    <w:uiPriority w:val="99"/>
    <w:semiHidden/>
    <w:unhideWhenUsed/>
    <w:rsid w:val="0041620B"/>
    <w:rPr>
      <w:color w:val="605E5C"/>
      <w:shd w:val="clear" w:color="auto" w:fill="E1DFDD"/>
    </w:rPr>
  </w:style>
  <w:style w:type="paragraph" w:styleId="BalloonText">
    <w:name w:val="Balloon Text"/>
    <w:basedOn w:val="Normal"/>
    <w:link w:val="BalloonTextChar"/>
    <w:uiPriority w:val="99"/>
    <w:semiHidden/>
    <w:unhideWhenUsed/>
    <w:rsid w:val="00226A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6A3C"/>
    <w:rPr>
      <w:rFonts w:ascii="Segoe UI" w:hAnsi="Segoe UI" w:cs="Segoe UI"/>
      <w:sz w:val="18"/>
      <w:szCs w:val="18"/>
    </w:rPr>
  </w:style>
  <w:style w:type="paragraph" w:styleId="ListParagraph">
    <w:name w:val="List Paragraph"/>
    <w:basedOn w:val="Normal"/>
    <w:uiPriority w:val="34"/>
    <w:qFormat/>
    <w:rsid w:val="0043008E"/>
    <w:pPr>
      <w:ind w:left="720"/>
      <w:contextualSpacing/>
    </w:pPr>
  </w:style>
  <w:style w:type="table" w:styleId="PlainTable1">
    <w:name w:val="Plain Table 1"/>
    <w:basedOn w:val="TableNormal"/>
    <w:uiPriority w:val="41"/>
    <w:rsid w:val="00B93DC0"/>
    <w:pPr>
      <w:spacing w:after="0" w:line="240" w:lineRule="auto"/>
    </w:pPr>
    <w:rPr>
      <w:lang w:val="en-IE"/>
    </w:rPr>
    <w:tblPr>
      <w:tblStyleRowBandSize w:val="1"/>
      <w:tblStyleColBandSize w:val="1"/>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FollowedHyperlink">
    <w:name w:val="FollowedHyperlink"/>
    <w:basedOn w:val="DefaultParagraphFont"/>
    <w:uiPriority w:val="99"/>
    <w:semiHidden/>
    <w:unhideWhenUsed/>
    <w:rsid w:val="002121A1"/>
    <w:rPr>
      <w:color w:val="954F72" w:themeColor="followedHyperlink"/>
      <w:u w:val="single"/>
    </w:rPr>
  </w:style>
  <w:style w:type="paragraph" w:customStyle="1" w:styleId="Default">
    <w:name w:val="Default"/>
    <w:rsid w:val="0067346A"/>
    <w:pPr>
      <w:autoSpaceDE w:val="0"/>
      <w:autoSpaceDN w:val="0"/>
      <w:adjustRightInd w:val="0"/>
      <w:spacing w:after="0" w:line="240" w:lineRule="auto"/>
    </w:pPr>
    <w:rPr>
      <w:rFonts w:ascii="Arial" w:hAnsi="Arial" w:cs="Arial"/>
      <w:color w:val="000000"/>
      <w:sz w:val="24"/>
      <w:szCs w:val="24"/>
      <w:lang w:val="en-IE"/>
    </w:rPr>
  </w:style>
  <w:style w:type="paragraph" w:styleId="FootnoteText">
    <w:name w:val="footnote text"/>
    <w:basedOn w:val="Normal"/>
    <w:link w:val="FootnoteTextChar"/>
    <w:uiPriority w:val="99"/>
    <w:semiHidden/>
    <w:unhideWhenUsed/>
    <w:rsid w:val="006003A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003A7"/>
    <w:rPr>
      <w:sz w:val="20"/>
      <w:szCs w:val="20"/>
    </w:rPr>
  </w:style>
  <w:style w:type="character" w:styleId="FootnoteReference">
    <w:name w:val="footnote reference"/>
    <w:basedOn w:val="DefaultParagraphFont"/>
    <w:uiPriority w:val="99"/>
    <w:unhideWhenUsed/>
    <w:rsid w:val="006003A7"/>
    <w:rPr>
      <w:vertAlign w:val="superscript"/>
    </w:rPr>
  </w:style>
  <w:style w:type="table" w:customStyle="1" w:styleId="TableGrid1">
    <w:name w:val="Table Grid1"/>
    <w:basedOn w:val="TableNormal"/>
    <w:next w:val="TableGrid"/>
    <w:uiPriority w:val="39"/>
    <w:rsid w:val="000451B9"/>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1058670">
      <w:bodyDiv w:val="1"/>
      <w:marLeft w:val="0"/>
      <w:marRight w:val="0"/>
      <w:marTop w:val="0"/>
      <w:marBottom w:val="0"/>
      <w:divBdr>
        <w:top w:val="none" w:sz="0" w:space="0" w:color="auto"/>
        <w:left w:val="none" w:sz="0" w:space="0" w:color="auto"/>
        <w:bottom w:val="none" w:sz="0" w:space="0" w:color="auto"/>
        <w:right w:val="none" w:sz="0" w:space="0" w:color="auto"/>
      </w:divBdr>
    </w:div>
    <w:div w:id="1581910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eanbusinessireland.ie/wp-content/uploads/2022/06/Strategic-Consultancy-Plan.xlsx" TargetMode="External"/><Relationship Id="rId18" Type="http://schemas.openxmlformats.org/officeDocument/2006/relationships/hyperlink" Target="mailto:green@enterprise-ireland.com"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www.climatetoolkit4business.gov.ie/"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www.leanbusinessireland.ie/wp-content/uploads/2022/06/Strategic-Consultancy-Plan.xlsx"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IndustryGrantClaims@enterprise-ireland.com" TargetMode="External"/><Relationship Id="rId20" Type="http://schemas.openxmlformats.org/officeDocument/2006/relationships/hyperlink" Target="https://www.enterprise-ireland.com/en/Productivity/Build-a-green-sustainable-Business/GreenStart/"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enterprise-ireland.com/en/Productivity/Build-a-green-sustainable-Business/GreenStart/"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enterprise-ireland.com/en/Process/Companies/Strategic-Consultancy-Grant-Claim-Forms.html" TargetMode="External"/><Relationship Id="rId23" Type="http://schemas.openxmlformats.org/officeDocument/2006/relationships/hyperlink" Target="https://www.seai.ie/business-and-public-sector/small-and-medium-business/supports/energy-audits/" TargetMode="Externa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www.levelproject.ie"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green@enterprise-ireland.com" TargetMode="External"/><Relationship Id="rId22" Type="http://schemas.openxmlformats.org/officeDocument/2006/relationships/hyperlink" Target="https://www.seai.ie/energyacademy/" TargetMode="External"/><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F68EF636B8B24DB7BDE15AC06D31F5" ma:contentTypeVersion="15" ma:contentTypeDescription="Create a new document." ma:contentTypeScope="" ma:versionID="196c70ff0f4c73072516cc173824b467">
  <xsd:schema xmlns:xsd="http://www.w3.org/2001/XMLSchema" xmlns:xs="http://www.w3.org/2001/XMLSchema" xmlns:p="http://schemas.microsoft.com/office/2006/metadata/properties" xmlns:ns2="ba202540-ab5c-4a37-b2cb-2e856e96994f" xmlns:ns3="0c07bb04-6ad9-40a3-893c-e4ff79fc85fa" targetNamespace="http://schemas.microsoft.com/office/2006/metadata/properties" ma:root="true" ma:fieldsID="291a19dc9fdde4f62bebb726cca191e6" ns2:_="" ns3:_="">
    <xsd:import namespace="ba202540-ab5c-4a37-b2cb-2e856e96994f"/>
    <xsd:import namespace="0c07bb04-6ad9-40a3-893c-e4ff79fc85f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202540-ab5c-4a37-b2cb-2e856e9699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9f7c7a3-53c4-4afb-8451-c4d558f2c4e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c07bb04-6ad9-40a3-893c-e4ff79fc85f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21a4bf1f-ad3e-4c71-8a84-887acd935067}" ma:internalName="TaxCatchAll" ma:showField="CatchAllData" ma:web="0c07bb04-6ad9-40a3-893c-e4ff79fc85f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0c07bb04-6ad9-40a3-893c-e4ff79fc85fa">
      <UserInfo>
        <DisplayName>Ó hAilín, Ruairí</DisplayName>
        <AccountId>12</AccountId>
        <AccountType/>
      </UserInfo>
    </SharedWithUsers>
    <lcf76f155ced4ddcb4097134ff3c332f xmlns="ba202540-ab5c-4a37-b2cb-2e856e96994f">
      <Terms xmlns="http://schemas.microsoft.com/office/infopath/2007/PartnerControls"/>
    </lcf76f155ced4ddcb4097134ff3c332f>
    <TaxCatchAll xmlns="0c07bb04-6ad9-40a3-893c-e4ff79fc85f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F36FEA-7628-4480-9FBE-C1A18BD32B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202540-ab5c-4a37-b2cb-2e856e96994f"/>
    <ds:schemaRef ds:uri="0c07bb04-6ad9-40a3-893c-e4ff79fc85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A69673-1286-4A91-98FD-7E3317334220}">
  <ds:schemaRefs>
    <ds:schemaRef ds:uri="http://schemas.microsoft.com/office/2006/metadata/properties"/>
    <ds:schemaRef ds:uri="http://schemas.microsoft.com/office/infopath/2007/PartnerControls"/>
    <ds:schemaRef ds:uri="0c07bb04-6ad9-40a3-893c-e4ff79fc85fa"/>
    <ds:schemaRef ds:uri="ba202540-ab5c-4a37-b2cb-2e856e96994f"/>
  </ds:schemaRefs>
</ds:datastoreItem>
</file>

<file path=customXml/itemProps3.xml><?xml version="1.0" encoding="utf-8"?>
<ds:datastoreItem xmlns:ds="http://schemas.openxmlformats.org/officeDocument/2006/customXml" ds:itemID="{A56CB802-FB56-4E3A-9112-F97735BAE06B}">
  <ds:schemaRefs>
    <ds:schemaRef ds:uri="http://schemas.microsoft.com/sharepoint/v3/contenttype/forms"/>
  </ds:schemaRefs>
</ds:datastoreItem>
</file>

<file path=customXml/itemProps4.xml><?xml version="1.0" encoding="utf-8"?>
<ds:datastoreItem xmlns:ds="http://schemas.openxmlformats.org/officeDocument/2006/customXml" ds:itemID="{93BA23B4-BEE0-4DB7-A4C8-345A3AF7D9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1595</Words>
  <Characters>9095</Characters>
  <Application>Microsoft Office Word</Application>
  <DocSecurity>0</DocSecurity>
  <Lines>75</Lines>
  <Paragraphs>21</Paragraphs>
  <ScaleCrop>false</ScaleCrop>
  <Company/>
  <LinksUpToDate>false</LinksUpToDate>
  <CharactersWithSpaces>10669</CharactersWithSpaces>
  <SharedDoc>false</SharedDoc>
  <HLinks>
    <vt:vector size="72" baseType="variant">
      <vt:variant>
        <vt:i4>4587591</vt:i4>
      </vt:variant>
      <vt:variant>
        <vt:i4>33</vt:i4>
      </vt:variant>
      <vt:variant>
        <vt:i4>0</vt:i4>
      </vt:variant>
      <vt:variant>
        <vt:i4>5</vt:i4>
      </vt:variant>
      <vt:variant>
        <vt:lpwstr>https://www.enterprise-ireland.com/en/Productivity/Build-a-green-sustainable-Business/GreenStart/</vt:lpwstr>
      </vt:variant>
      <vt:variant>
        <vt:lpwstr/>
      </vt:variant>
      <vt:variant>
        <vt:i4>1310813</vt:i4>
      </vt:variant>
      <vt:variant>
        <vt:i4>30</vt:i4>
      </vt:variant>
      <vt:variant>
        <vt:i4>0</vt:i4>
      </vt:variant>
      <vt:variant>
        <vt:i4>5</vt:i4>
      </vt:variant>
      <vt:variant>
        <vt:lpwstr>https://www.seai.ie/business-and-public-sector/small-and-medium-business/supports/energy-audits/</vt:lpwstr>
      </vt:variant>
      <vt:variant>
        <vt:lpwstr/>
      </vt:variant>
      <vt:variant>
        <vt:i4>2228322</vt:i4>
      </vt:variant>
      <vt:variant>
        <vt:i4>27</vt:i4>
      </vt:variant>
      <vt:variant>
        <vt:i4>0</vt:i4>
      </vt:variant>
      <vt:variant>
        <vt:i4>5</vt:i4>
      </vt:variant>
      <vt:variant>
        <vt:lpwstr>https://www.seai.ie/energyacademy/</vt:lpwstr>
      </vt:variant>
      <vt:variant>
        <vt:lpwstr/>
      </vt:variant>
      <vt:variant>
        <vt:i4>4128866</vt:i4>
      </vt:variant>
      <vt:variant>
        <vt:i4>24</vt:i4>
      </vt:variant>
      <vt:variant>
        <vt:i4>0</vt:i4>
      </vt:variant>
      <vt:variant>
        <vt:i4>5</vt:i4>
      </vt:variant>
      <vt:variant>
        <vt:lpwstr>https://www.climatetoolkit4business.gov.ie/</vt:lpwstr>
      </vt:variant>
      <vt:variant>
        <vt:lpwstr/>
      </vt:variant>
      <vt:variant>
        <vt:i4>4587591</vt:i4>
      </vt:variant>
      <vt:variant>
        <vt:i4>21</vt:i4>
      </vt:variant>
      <vt:variant>
        <vt:i4>0</vt:i4>
      </vt:variant>
      <vt:variant>
        <vt:i4>5</vt:i4>
      </vt:variant>
      <vt:variant>
        <vt:lpwstr>https://www.enterprise-ireland.com/en/Productivity/Build-a-green-sustainable-Business/GreenStart/</vt:lpwstr>
      </vt:variant>
      <vt:variant>
        <vt:lpwstr/>
      </vt:variant>
      <vt:variant>
        <vt:i4>7143479</vt:i4>
      </vt:variant>
      <vt:variant>
        <vt:i4>18</vt:i4>
      </vt:variant>
      <vt:variant>
        <vt:i4>0</vt:i4>
      </vt:variant>
      <vt:variant>
        <vt:i4>5</vt:i4>
      </vt:variant>
      <vt:variant>
        <vt:lpwstr>http://www.levelproject.ie/</vt:lpwstr>
      </vt:variant>
      <vt:variant>
        <vt:lpwstr/>
      </vt:variant>
      <vt:variant>
        <vt:i4>7340032</vt:i4>
      </vt:variant>
      <vt:variant>
        <vt:i4>15</vt:i4>
      </vt:variant>
      <vt:variant>
        <vt:i4>0</vt:i4>
      </vt:variant>
      <vt:variant>
        <vt:i4>5</vt:i4>
      </vt:variant>
      <vt:variant>
        <vt:lpwstr>mailto:green@enterprise-ireland.com</vt:lpwstr>
      </vt:variant>
      <vt:variant>
        <vt:lpwstr/>
      </vt:variant>
      <vt:variant>
        <vt:i4>5832777</vt:i4>
      </vt:variant>
      <vt:variant>
        <vt:i4>12</vt:i4>
      </vt:variant>
      <vt:variant>
        <vt:i4>0</vt:i4>
      </vt:variant>
      <vt:variant>
        <vt:i4>5</vt:i4>
      </vt:variant>
      <vt:variant>
        <vt:lpwstr>https://www.leanbusinessireland.ie/wp-content/uploads/2022/06/Strategic-Consultancy-Plan.xlsx</vt:lpwstr>
      </vt:variant>
      <vt:variant>
        <vt:lpwstr/>
      </vt:variant>
      <vt:variant>
        <vt:i4>1310834</vt:i4>
      </vt:variant>
      <vt:variant>
        <vt:i4>9</vt:i4>
      </vt:variant>
      <vt:variant>
        <vt:i4>0</vt:i4>
      </vt:variant>
      <vt:variant>
        <vt:i4>5</vt:i4>
      </vt:variant>
      <vt:variant>
        <vt:lpwstr>mailto:IndustryGrantClaims@enterprise-ireland.com</vt:lpwstr>
      </vt:variant>
      <vt:variant>
        <vt:lpwstr/>
      </vt:variant>
      <vt:variant>
        <vt:i4>4325398</vt:i4>
      </vt:variant>
      <vt:variant>
        <vt:i4>6</vt:i4>
      </vt:variant>
      <vt:variant>
        <vt:i4>0</vt:i4>
      </vt:variant>
      <vt:variant>
        <vt:i4>5</vt:i4>
      </vt:variant>
      <vt:variant>
        <vt:lpwstr>https://www.enterprise-ireland.com/en/Process/Companies/Strategic-Consultancy-Grant-Claim-Forms.html</vt:lpwstr>
      </vt:variant>
      <vt:variant>
        <vt:lpwstr/>
      </vt:variant>
      <vt:variant>
        <vt:i4>7340032</vt:i4>
      </vt:variant>
      <vt:variant>
        <vt:i4>3</vt:i4>
      </vt:variant>
      <vt:variant>
        <vt:i4>0</vt:i4>
      </vt:variant>
      <vt:variant>
        <vt:i4>5</vt:i4>
      </vt:variant>
      <vt:variant>
        <vt:lpwstr>mailto:green@enterprise-ireland.com</vt:lpwstr>
      </vt:variant>
      <vt:variant>
        <vt:lpwstr/>
      </vt:variant>
      <vt:variant>
        <vt:i4>5832777</vt:i4>
      </vt:variant>
      <vt:variant>
        <vt:i4>0</vt:i4>
      </vt:variant>
      <vt:variant>
        <vt:i4>0</vt:i4>
      </vt:variant>
      <vt:variant>
        <vt:i4>5</vt:i4>
      </vt:variant>
      <vt:variant>
        <vt:lpwstr>https://www.leanbusinessireland.ie/wp-content/uploads/2022/06/Strategic-Consultancy-Plan.xlsx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O'Regan, Kathleen</dc:creator>
  <cp:keywords/>
  <dc:description/>
  <cp:lastModifiedBy>O'Regan, Kathleen</cp:lastModifiedBy>
  <cp:revision>86</cp:revision>
  <dcterms:created xsi:type="dcterms:W3CDTF">2022-06-20T20:50:00Z</dcterms:created>
  <dcterms:modified xsi:type="dcterms:W3CDTF">2022-10-14T11:14:00Z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0x010100B9F68EF636B8B24DB7BDE15AC06D31F5</vt:lpwstr>
  </property>
  <property fmtid="{D5CDD505-2E9C-101B-9397-08002B2CF9AE}" pid="3" name="xd_ProgID">
    <vt:lpwstr/>
  </property>
  <property fmtid="{D5CDD505-2E9C-101B-9397-08002B2CF9AE}" pid="4" name="ComplianceAssetId">
    <vt:lpwstr/>
  </property>
  <property fmtid="{D5CDD505-2E9C-101B-9397-08002B2CF9AE}" pid="5" name="TemplateUrl">
    <vt:lpwstr/>
  </property>
  <property fmtid="{D5CDD505-2E9C-101B-9397-08002B2CF9AE}" pid="6" name="_ExtendedDescription">
    <vt:lpwstr/>
  </property>
  <property fmtid="{D5CDD505-2E9C-101B-9397-08002B2CF9AE}" pid="7" name="TriggerFlowInfo">
    <vt:lpwstr/>
  </property>
  <property fmtid="{D5CDD505-2E9C-101B-9397-08002B2CF9AE}" pid="8" name="xd_Signature">
    <vt:bool>false</vt:bool>
  </property>
  <property fmtid="{D5CDD505-2E9C-101B-9397-08002B2CF9AE}" pid="9" name="MediaServiceImageTags">
    <vt:lpwstr/>
  </property>
</Properties>
</file>