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96204676"/>
        <w:docPartObj>
          <w:docPartGallery w:val="Cover Pages"/>
          <w:docPartUnique/>
        </w:docPartObj>
      </w:sdtPr>
      <w:sdtEndPr/>
      <w:sdtContent>
        <w:p w14:paraId="20E3A314" w14:textId="15EDFF5F" w:rsidR="00F36C46" w:rsidRDefault="00F36C46">
          <w:r>
            <w:rPr>
              <w:noProof/>
              <w:lang w:eastAsia="en-IE"/>
            </w:rPr>
            <w:drawing>
              <wp:anchor distT="0" distB="0" distL="114300" distR="114300" simplePos="0" relativeHeight="251661312" behindDoc="0" locked="0" layoutInCell="1" allowOverlap="1" wp14:anchorId="4C476463" wp14:editId="21BB12C4">
                <wp:simplePos x="0" y="0"/>
                <wp:positionH relativeFrom="margin">
                  <wp:posOffset>-2659380</wp:posOffset>
                </wp:positionH>
                <wp:positionV relativeFrom="page">
                  <wp:posOffset>203772</wp:posOffset>
                </wp:positionV>
                <wp:extent cx="9136380" cy="1744980"/>
                <wp:effectExtent l="0" t="0" r="7620" b="7620"/>
                <wp:wrapThrough wrapText="bothSides">
                  <wp:wrapPolygon edited="0">
                    <wp:start x="0" y="0"/>
                    <wp:lineTo x="0" y="21459"/>
                    <wp:lineTo x="21573" y="21459"/>
                    <wp:lineTo x="215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Power LH t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36380" cy="1744980"/>
                        </a:xfrm>
                        <a:prstGeom prst="rect">
                          <a:avLst/>
                        </a:prstGeom>
                      </pic:spPr>
                    </pic:pic>
                  </a:graphicData>
                </a:graphic>
                <wp14:sizeRelH relativeFrom="margin">
                  <wp14:pctWidth>0</wp14:pctWidth>
                </wp14:sizeRelH>
              </wp:anchor>
            </w:drawing>
          </w:r>
          <w:r>
            <w:rPr>
              <w:noProof/>
            </w:rPr>
            <mc:AlternateContent>
              <mc:Choice Requires="wpg">
                <w:drawing>
                  <wp:anchor distT="0" distB="0" distL="114300" distR="114300" simplePos="0" relativeHeight="251659264" behindDoc="1" locked="0" layoutInCell="1" allowOverlap="1" wp14:anchorId="57F3F14F" wp14:editId="447D42A2">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40"/>
                                      <w:szCs w:val="40"/>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09D260BB" w14:textId="5C3DF4A4" w:rsidR="00F36C46" w:rsidRPr="00F36C46" w:rsidRDefault="00F36C46">
                                      <w:pPr>
                                        <w:pStyle w:val="NoSpacing"/>
                                        <w:spacing w:before="120"/>
                                        <w:jc w:val="center"/>
                                        <w:rPr>
                                          <w:color w:val="FFFFFF" w:themeColor="background1"/>
                                          <w:sz w:val="40"/>
                                          <w:szCs w:val="40"/>
                                        </w:rPr>
                                      </w:pPr>
                                      <w:r>
                                        <w:rPr>
                                          <w:color w:val="FFFFFF" w:themeColor="background1"/>
                                          <w:sz w:val="40"/>
                                          <w:szCs w:val="40"/>
                                        </w:rPr>
                                        <w:t>REP</w:t>
                                      </w:r>
                                      <w:r w:rsidRPr="00F36C46">
                                        <w:rPr>
                                          <w:color w:val="FFFFFF" w:themeColor="background1"/>
                                          <w:sz w:val="40"/>
                                          <w:szCs w:val="40"/>
                                        </w:rPr>
                                        <w:t>ORT PREPARED FOR IPAV &amp; IPOA</w:t>
                                      </w:r>
                                      <w:r w:rsidR="00107CED">
                                        <w:rPr>
                                          <w:color w:val="FFFFFF" w:themeColor="background1"/>
                                          <w:sz w:val="40"/>
                                          <w:szCs w:val="40"/>
                                        </w:rPr>
                                        <w:t>, MAY 2022</w:t>
                                      </w:r>
                                    </w:p>
                                  </w:sdtContent>
                                </w:sdt>
                                <w:p w14:paraId="66D59F7A" w14:textId="1D642268" w:rsidR="00F36C46" w:rsidRDefault="001F699D">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F36C46">
                                        <w:rPr>
                                          <w:caps/>
                                          <w:color w:val="FFFFFF" w:themeColor="background1"/>
                                        </w:rPr>
                                        <w:t xml:space="preserve">     </w:t>
                                      </w:r>
                                    </w:sdtContent>
                                  </w:sdt>
                                  <w:r w:rsidR="00F36C46">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F36C46">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C53F858" w14:textId="0C27EEE8" w:rsidR="00F36C46" w:rsidRDefault="00F36C46">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THE IRISH PRIVATE RENTAL MARKET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7F3F14F"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sz w:val="40"/>
                                <w:szCs w:val="40"/>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09D260BB" w14:textId="5C3DF4A4" w:rsidR="00F36C46" w:rsidRPr="00F36C46" w:rsidRDefault="00F36C46">
                                <w:pPr>
                                  <w:pStyle w:val="NoSpacing"/>
                                  <w:spacing w:before="120"/>
                                  <w:jc w:val="center"/>
                                  <w:rPr>
                                    <w:color w:val="FFFFFF" w:themeColor="background1"/>
                                    <w:sz w:val="40"/>
                                    <w:szCs w:val="40"/>
                                  </w:rPr>
                                </w:pPr>
                                <w:r>
                                  <w:rPr>
                                    <w:color w:val="FFFFFF" w:themeColor="background1"/>
                                    <w:sz w:val="40"/>
                                    <w:szCs w:val="40"/>
                                  </w:rPr>
                                  <w:t>REP</w:t>
                                </w:r>
                                <w:r w:rsidRPr="00F36C46">
                                  <w:rPr>
                                    <w:color w:val="FFFFFF" w:themeColor="background1"/>
                                    <w:sz w:val="40"/>
                                    <w:szCs w:val="40"/>
                                  </w:rPr>
                                  <w:t>ORT PREPARED FOR IPAV &amp; IPOA</w:t>
                                </w:r>
                                <w:r w:rsidR="00107CED">
                                  <w:rPr>
                                    <w:color w:val="FFFFFF" w:themeColor="background1"/>
                                    <w:sz w:val="40"/>
                                    <w:szCs w:val="40"/>
                                  </w:rPr>
                                  <w:t>, MAY 2022</w:t>
                                </w:r>
                              </w:p>
                            </w:sdtContent>
                          </w:sdt>
                          <w:p w14:paraId="66D59F7A" w14:textId="1D642268" w:rsidR="00F36C46" w:rsidRDefault="00E904A3">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F36C46">
                                  <w:rPr>
                                    <w:caps/>
                                    <w:color w:val="FFFFFF" w:themeColor="background1"/>
                                  </w:rPr>
                                  <w:t xml:space="preserve">     </w:t>
                                </w:r>
                              </w:sdtContent>
                            </w:sdt>
                            <w:r w:rsidR="00F36C46">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F36C46">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C53F858" w14:textId="0C27EEE8" w:rsidR="00F36C46" w:rsidRDefault="00F36C46">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THE IRISH PRIVATE RENTAL MARKET</w:t>
                                </w:r>
                              </w:p>
                            </w:sdtContent>
                          </w:sdt>
                        </w:txbxContent>
                      </v:textbox>
                    </v:shape>
                    <w10:wrap anchorx="page" anchory="page"/>
                  </v:group>
                </w:pict>
              </mc:Fallback>
            </mc:AlternateContent>
          </w:r>
        </w:p>
        <w:p w14:paraId="481FDF9D" w14:textId="1208AC59" w:rsidR="00F36C46" w:rsidRDefault="008230FC">
          <w:pPr>
            <w:rPr>
              <w:rFonts w:asciiTheme="majorHAnsi" w:eastAsiaTheme="majorEastAsia" w:hAnsiTheme="majorHAnsi" w:cstheme="majorBidi"/>
              <w:color w:val="2F5496" w:themeColor="accent1" w:themeShade="BF"/>
              <w:sz w:val="32"/>
              <w:szCs w:val="32"/>
            </w:rPr>
          </w:pPr>
          <w:r>
            <w:rPr>
              <w:noProof/>
              <w:lang w:eastAsia="en-IE"/>
            </w:rPr>
            <w:drawing>
              <wp:anchor distT="0" distB="0" distL="114300" distR="114300" simplePos="0" relativeHeight="251662336" behindDoc="0" locked="0" layoutInCell="1" allowOverlap="1" wp14:anchorId="762B279D" wp14:editId="30975BA1">
                <wp:simplePos x="0" y="0"/>
                <wp:positionH relativeFrom="column">
                  <wp:posOffset>28575</wp:posOffset>
                </wp:positionH>
                <wp:positionV relativeFrom="paragraph">
                  <wp:posOffset>5205730</wp:posOffset>
                </wp:positionV>
                <wp:extent cx="2143125" cy="1495425"/>
                <wp:effectExtent l="0" t="0" r="9525" b="9525"/>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12">
                          <a:extLst>
                            <a:ext uri="{28A0092B-C50C-407E-A947-70E740481C1C}">
                              <a14:useLocalDpi xmlns:a14="http://schemas.microsoft.com/office/drawing/2010/main" val="0"/>
                            </a:ext>
                          </a:extLst>
                        </a:blip>
                        <a:srcRect t="14221" b="16001"/>
                        <a:stretch/>
                      </pic:blipFill>
                      <pic:spPr bwMode="auto">
                        <a:xfrm>
                          <a:off x="0" y="0"/>
                          <a:ext cx="2143125" cy="1495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IE"/>
            </w:rPr>
            <w:drawing>
              <wp:anchor distT="0" distB="0" distL="114300" distR="114300" simplePos="0" relativeHeight="251663360" behindDoc="0" locked="0" layoutInCell="1" allowOverlap="1" wp14:anchorId="2B3DF539" wp14:editId="71C89A43">
                <wp:simplePos x="0" y="0"/>
                <wp:positionH relativeFrom="margin">
                  <wp:posOffset>2731135</wp:posOffset>
                </wp:positionH>
                <wp:positionV relativeFrom="paragraph">
                  <wp:posOffset>5225415</wp:posOffset>
                </wp:positionV>
                <wp:extent cx="3000375" cy="1456055"/>
                <wp:effectExtent l="0" t="0" r="9525" b="0"/>
                <wp:wrapNone/>
                <wp:docPr id="11" name="Picture 11"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outdoor,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00375" cy="145605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F36C46">
            <w:br w:type="page"/>
          </w:r>
        </w:p>
      </w:sdtContent>
    </w:sdt>
    <w:sdt>
      <w:sdtPr>
        <w:rPr>
          <w:rFonts w:asciiTheme="minorHAnsi" w:eastAsiaTheme="minorHAnsi" w:hAnsiTheme="minorHAnsi" w:cstheme="minorBidi"/>
          <w:color w:val="auto"/>
          <w:sz w:val="22"/>
          <w:szCs w:val="22"/>
          <w:lang w:val="en-IE"/>
        </w:rPr>
        <w:id w:val="-1484308852"/>
        <w:docPartObj>
          <w:docPartGallery w:val="Table of Contents"/>
          <w:docPartUnique/>
        </w:docPartObj>
      </w:sdtPr>
      <w:sdtEndPr>
        <w:rPr>
          <w:b/>
          <w:bCs/>
          <w:noProof/>
        </w:rPr>
      </w:sdtEndPr>
      <w:sdtContent>
        <w:p w14:paraId="6E7C18CB" w14:textId="487536CB" w:rsidR="00186D57" w:rsidRDefault="00186D57">
          <w:pPr>
            <w:pStyle w:val="TOCHeading"/>
          </w:pPr>
          <w:r>
            <w:t>Contents</w:t>
          </w:r>
        </w:p>
        <w:p w14:paraId="44CC74FE" w14:textId="4096A959" w:rsidR="00E904A3" w:rsidRDefault="00186D57">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103266204" w:history="1">
            <w:r w:rsidR="00E904A3" w:rsidRPr="004865DA">
              <w:rPr>
                <w:rStyle w:val="Hyperlink"/>
                <w:noProof/>
              </w:rPr>
              <w:t>EXECUTIVE SUMMARY</w:t>
            </w:r>
            <w:r w:rsidR="00E904A3">
              <w:rPr>
                <w:noProof/>
                <w:webHidden/>
              </w:rPr>
              <w:tab/>
            </w:r>
            <w:r w:rsidR="00E904A3">
              <w:rPr>
                <w:noProof/>
                <w:webHidden/>
              </w:rPr>
              <w:fldChar w:fldCharType="begin"/>
            </w:r>
            <w:r w:rsidR="00E904A3">
              <w:rPr>
                <w:noProof/>
                <w:webHidden/>
              </w:rPr>
              <w:instrText xml:space="preserve"> PAGEREF _Toc103266204 \h </w:instrText>
            </w:r>
            <w:r w:rsidR="00E904A3">
              <w:rPr>
                <w:noProof/>
                <w:webHidden/>
              </w:rPr>
            </w:r>
            <w:r w:rsidR="00E904A3">
              <w:rPr>
                <w:noProof/>
                <w:webHidden/>
              </w:rPr>
              <w:fldChar w:fldCharType="separate"/>
            </w:r>
            <w:r w:rsidR="00327043">
              <w:rPr>
                <w:noProof/>
                <w:webHidden/>
              </w:rPr>
              <w:t>2</w:t>
            </w:r>
            <w:r w:rsidR="00E904A3">
              <w:rPr>
                <w:noProof/>
                <w:webHidden/>
              </w:rPr>
              <w:fldChar w:fldCharType="end"/>
            </w:r>
          </w:hyperlink>
        </w:p>
        <w:p w14:paraId="72B11467" w14:textId="0776D4C4" w:rsidR="00E904A3" w:rsidRDefault="001F699D">
          <w:pPr>
            <w:pStyle w:val="TOC1"/>
            <w:tabs>
              <w:tab w:val="right" w:leader="dot" w:pos="9016"/>
            </w:tabs>
            <w:rPr>
              <w:rFonts w:eastAsiaTheme="minorEastAsia"/>
              <w:noProof/>
              <w:lang w:eastAsia="en-IE"/>
            </w:rPr>
          </w:pPr>
          <w:hyperlink w:anchor="_Toc103266205" w:history="1">
            <w:r w:rsidR="00E904A3" w:rsidRPr="004865DA">
              <w:rPr>
                <w:rStyle w:val="Hyperlink"/>
                <w:noProof/>
              </w:rPr>
              <w:t>INTRODUCTION</w:t>
            </w:r>
            <w:r w:rsidR="00E904A3">
              <w:rPr>
                <w:noProof/>
                <w:webHidden/>
              </w:rPr>
              <w:tab/>
            </w:r>
            <w:r w:rsidR="00E904A3">
              <w:rPr>
                <w:noProof/>
                <w:webHidden/>
              </w:rPr>
              <w:fldChar w:fldCharType="begin"/>
            </w:r>
            <w:r w:rsidR="00E904A3">
              <w:rPr>
                <w:noProof/>
                <w:webHidden/>
              </w:rPr>
              <w:instrText xml:space="preserve"> PAGEREF _Toc103266205 \h </w:instrText>
            </w:r>
            <w:r w:rsidR="00E904A3">
              <w:rPr>
                <w:noProof/>
                <w:webHidden/>
              </w:rPr>
            </w:r>
            <w:r w:rsidR="00E904A3">
              <w:rPr>
                <w:noProof/>
                <w:webHidden/>
              </w:rPr>
              <w:fldChar w:fldCharType="separate"/>
            </w:r>
            <w:r w:rsidR="00327043">
              <w:rPr>
                <w:noProof/>
                <w:webHidden/>
              </w:rPr>
              <w:t>4</w:t>
            </w:r>
            <w:r w:rsidR="00E904A3">
              <w:rPr>
                <w:noProof/>
                <w:webHidden/>
              </w:rPr>
              <w:fldChar w:fldCharType="end"/>
            </w:r>
          </w:hyperlink>
        </w:p>
        <w:p w14:paraId="0E68B559" w14:textId="30A6391E" w:rsidR="00E904A3" w:rsidRDefault="001F699D">
          <w:pPr>
            <w:pStyle w:val="TOC1"/>
            <w:tabs>
              <w:tab w:val="right" w:leader="dot" w:pos="9016"/>
            </w:tabs>
            <w:rPr>
              <w:rFonts w:eastAsiaTheme="minorEastAsia"/>
              <w:noProof/>
              <w:lang w:eastAsia="en-IE"/>
            </w:rPr>
          </w:pPr>
          <w:hyperlink w:anchor="_Toc103266206" w:history="1">
            <w:r w:rsidR="00E904A3" w:rsidRPr="004865DA">
              <w:rPr>
                <w:rStyle w:val="Hyperlink"/>
                <w:rFonts w:asciiTheme="majorHAnsi" w:eastAsiaTheme="majorEastAsia" w:hAnsiTheme="majorHAnsi" w:cstheme="majorBidi"/>
                <w:noProof/>
              </w:rPr>
              <w:t>SECTION 1: ASSESSMENT OF THE IRISH HOUSING MARKET</w:t>
            </w:r>
            <w:r w:rsidR="00E904A3">
              <w:rPr>
                <w:noProof/>
                <w:webHidden/>
              </w:rPr>
              <w:tab/>
            </w:r>
            <w:r w:rsidR="00E904A3">
              <w:rPr>
                <w:noProof/>
                <w:webHidden/>
              </w:rPr>
              <w:fldChar w:fldCharType="begin"/>
            </w:r>
            <w:r w:rsidR="00E904A3">
              <w:rPr>
                <w:noProof/>
                <w:webHidden/>
              </w:rPr>
              <w:instrText xml:space="preserve"> PAGEREF _Toc103266206 \h </w:instrText>
            </w:r>
            <w:r w:rsidR="00E904A3">
              <w:rPr>
                <w:noProof/>
                <w:webHidden/>
              </w:rPr>
            </w:r>
            <w:r w:rsidR="00E904A3">
              <w:rPr>
                <w:noProof/>
                <w:webHidden/>
              </w:rPr>
              <w:fldChar w:fldCharType="separate"/>
            </w:r>
            <w:r w:rsidR="00327043">
              <w:rPr>
                <w:noProof/>
                <w:webHidden/>
              </w:rPr>
              <w:t>7</w:t>
            </w:r>
            <w:r w:rsidR="00E904A3">
              <w:rPr>
                <w:noProof/>
                <w:webHidden/>
              </w:rPr>
              <w:fldChar w:fldCharType="end"/>
            </w:r>
          </w:hyperlink>
        </w:p>
        <w:p w14:paraId="6201C99B" w14:textId="5549E1AA" w:rsidR="00E904A3" w:rsidRDefault="001F699D">
          <w:pPr>
            <w:pStyle w:val="TOC1"/>
            <w:tabs>
              <w:tab w:val="right" w:leader="dot" w:pos="9016"/>
            </w:tabs>
            <w:rPr>
              <w:rFonts w:eastAsiaTheme="minorEastAsia"/>
              <w:noProof/>
              <w:lang w:eastAsia="en-IE"/>
            </w:rPr>
          </w:pPr>
          <w:hyperlink w:anchor="_Toc103266207" w:history="1">
            <w:r w:rsidR="00E904A3" w:rsidRPr="004865DA">
              <w:rPr>
                <w:rStyle w:val="Hyperlink"/>
                <w:noProof/>
              </w:rPr>
              <w:t>SECTION 2: HOUSING SUPPLY</w:t>
            </w:r>
            <w:r w:rsidR="00E904A3">
              <w:rPr>
                <w:noProof/>
                <w:webHidden/>
              </w:rPr>
              <w:tab/>
            </w:r>
            <w:r w:rsidR="00E904A3">
              <w:rPr>
                <w:noProof/>
                <w:webHidden/>
              </w:rPr>
              <w:fldChar w:fldCharType="begin"/>
            </w:r>
            <w:r w:rsidR="00E904A3">
              <w:rPr>
                <w:noProof/>
                <w:webHidden/>
              </w:rPr>
              <w:instrText xml:space="preserve"> PAGEREF _Toc103266207 \h </w:instrText>
            </w:r>
            <w:r w:rsidR="00E904A3">
              <w:rPr>
                <w:noProof/>
                <w:webHidden/>
              </w:rPr>
            </w:r>
            <w:r w:rsidR="00E904A3">
              <w:rPr>
                <w:noProof/>
                <w:webHidden/>
              </w:rPr>
              <w:fldChar w:fldCharType="separate"/>
            </w:r>
            <w:r w:rsidR="00327043">
              <w:rPr>
                <w:noProof/>
                <w:webHidden/>
              </w:rPr>
              <w:t>10</w:t>
            </w:r>
            <w:r w:rsidR="00E904A3">
              <w:rPr>
                <w:noProof/>
                <w:webHidden/>
              </w:rPr>
              <w:fldChar w:fldCharType="end"/>
            </w:r>
          </w:hyperlink>
        </w:p>
        <w:p w14:paraId="79A03AF0" w14:textId="31D13AE1" w:rsidR="00E904A3" w:rsidRDefault="001F699D">
          <w:pPr>
            <w:pStyle w:val="TOC1"/>
            <w:tabs>
              <w:tab w:val="right" w:leader="dot" w:pos="9016"/>
            </w:tabs>
            <w:rPr>
              <w:rFonts w:eastAsiaTheme="minorEastAsia"/>
              <w:noProof/>
              <w:lang w:eastAsia="en-IE"/>
            </w:rPr>
          </w:pPr>
          <w:hyperlink w:anchor="_Toc103266208" w:history="1">
            <w:r w:rsidR="00E904A3" w:rsidRPr="004865DA">
              <w:rPr>
                <w:rStyle w:val="Hyperlink"/>
                <w:rFonts w:asciiTheme="majorHAnsi" w:eastAsiaTheme="majorEastAsia" w:hAnsiTheme="majorHAnsi" w:cstheme="majorBidi"/>
                <w:noProof/>
              </w:rPr>
              <w:t>SECTION 3: RECENT TRENDS IN PRIVATE RENTS</w:t>
            </w:r>
            <w:r w:rsidR="00E904A3">
              <w:rPr>
                <w:noProof/>
                <w:webHidden/>
              </w:rPr>
              <w:tab/>
            </w:r>
            <w:r w:rsidR="00E904A3">
              <w:rPr>
                <w:noProof/>
                <w:webHidden/>
              </w:rPr>
              <w:fldChar w:fldCharType="begin"/>
            </w:r>
            <w:r w:rsidR="00E904A3">
              <w:rPr>
                <w:noProof/>
                <w:webHidden/>
              </w:rPr>
              <w:instrText xml:space="preserve"> PAGEREF _Toc103266208 \h </w:instrText>
            </w:r>
            <w:r w:rsidR="00E904A3">
              <w:rPr>
                <w:noProof/>
                <w:webHidden/>
              </w:rPr>
            </w:r>
            <w:r w:rsidR="00E904A3">
              <w:rPr>
                <w:noProof/>
                <w:webHidden/>
              </w:rPr>
              <w:fldChar w:fldCharType="separate"/>
            </w:r>
            <w:r w:rsidR="00327043">
              <w:rPr>
                <w:noProof/>
                <w:webHidden/>
              </w:rPr>
              <w:t>12</w:t>
            </w:r>
            <w:r w:rsidR="00E904A3">
              <w:rPr>
                <w:noProof/>
                <w:webHidden/>
              </w:rPr>
              <w:fldChar w:fldCharType="end"/>
            </w:r>
          </w:hyperlink>
        </w:p>
        <w:p w14:paraId="1301FE27" w14:textId="4D0E9766" w:rsidR="00E904A3" w:rsidRDefault="001F699D">
          <w:pPr>
            <w:pStyle w:val="TOC1"/>
            <w:tabs>
              <w:tab w:val="right" w:leader="dot" w:pos="9016"/>
            </w:tabs>
            <w:rPr>
              <w:rFonts w:eastAsiaTheme="minorEastAsia"/>
              <w:noProof/>
              <w:lang w:eastAsia="en-IE"/>
            </w:rPr>
          </w:pPr>
          <w:hyperlink w:anchor="_Toc103266209" w:history="1">
            <w:r w:rsidR="00E904A3" w:rsidRPr="004865DA">
              <w:rPr>
                <w:rStyle w:val="Hyperlink"/>
                <w:noProof/>
              </w:rPr>
              <w:t>SECTION 4: THE RENTAL MARKET IN IRELAND</w:t>
            </w:r>
            <w:r w:rsidR="00E904A3">
              <w:rPr>
                <w:noProof/>
                <w:webHidden/>
              </w:rPr>
              <w:tab/>
            </w:r>
            <w:r w:rsidR="00E904A3">
              <w:rPr>
                <w:noProof/>
                <w:webHidden/>
              </w:rPr>
              <w:fldChar w:fldCharType="begin"/>
            </w:r>
            <w:r w:rsidR="00E904A3">
              <w:rPr>
                <w:noProof/>
                <w:webHidden/>
              </w:rPr>
              <w:instrText xml:space="preserve"> PAGEREF _Toc103266209 \h </w:instrText>
            </w:r>
            <w:r w:rsidR="00E904A3">
              <w:rPr>
                <w:noProof/>
                <w:webHidden/>
              </w:rPr>
            </w:r>
            <w:r w:rsidR="00E904A3">
              <w:rPr>
                <w:noProof/>
                <w:webHidden/>
              </w:rPr>
              <w:fldChar w:fldCharType="separate"/>
            </w:r>
            <w:r w:rsidR="00327043">
              <w:rPr>
                <w:noProof/>
                <w:webHidden/>
              </w:rPr>
              <w:t>15</w:t>
            </w:r>
            <w:r w:rsidR="00E904A3">
              <w:rPr>
                <w:noProof/>
                <w:webHidden/>
              </w:rPr>
              <w:fldChar w:fldCharType="end"/>
            </w:r>
          </w:hyperlink>
        </w:p>
        <w:p w14:paraId="4E7FE679" w14:textId="19A31E44" w:rsidR="00E904A3" w:rsidRDefault="001F699D">
          <w:pPr>
            <w:pStyle w:val="TOC1"/>
            <w:tabs>
              <w:tab w:val="right" w:leader="dot" w:pos="9016"/>
            </w:tabs>
            <w:rPr>
              <w:rFonts w:eastAsiaTheme="minorEastAsia"/>
              <w:noProof/>
              <w:lang w:eastAsia="en-IE"/>
            </w:rPr>
          </w:pPr>
          <w:hyperlink w:anchor="_Toc103266210" w:history="1">
            <w:r w:rsidR="00E904A3" w:rsidRPr="004865DA">
              <w:rPr>
                <w:rStyle w:val="Hyperlink"/>
                <w:noProof/>
              </w:rPr>
              <w:t>SECTION 5: RELEVANT MARKET RESEARCH</w:t>
            </w:r>
            <w:r w:rsidR="00E904A3">
              <w:rPr>
                <w:noProof/>
                <w:webHidden/>
              </w:rPr>
              <w:tab/>
            </w:r>
            <w:r w:rsidR="00E904A3">
              <w:rPr>
                <w:noProof/>
                <w:webHidden/>
              </w:rPr>
              <w:fldChar w:fldCharType="begin"/>
            </w:r>
            <w:r w:rsidR="00E904A3">
              <w:rPr>
                <w:noProof/>
                <w:webHidden/>
              </w:rPr>
              <w:instrText xml:space="preserve"> PAGEREF _Toc103266210 \h </w:instrText>
            </w:r>
            <w:r w:rsidR="00E904A3">
              <w:rPr>
                <w:noProof/>
                <w:webHidden/>
              </w:rPr>
            </w:r>
            <w:r w:rsidR="00E904A3">
              <w:rPr>
                <w:noProof/>
                <w:webHidden/>
              </w:rPr>
              <w:fldChar w:fldCharType="separate"/>
            </w:r>
            <w:r w:rsidR="00327043">
              <w:rPr>
                <w:noProof/>
                <w:webHidden/>
              </w:rPr>
              <w:t>18</w:t>
            </w:r>
            <w:r w:rsidR="00E904A3">
              <w:rPr>
                <w:noProof/>
                <w:webHidden/>
              </w:rPr>
              <w:fldChar w:fldCharType="end"/>
            </w:r>
          </w:hyperlink>
        </w:p>
        <w:p w14:paraId="1BB994AA" w14:textId="567379ED" w:rsidR="00E904A3" w:rsidRDefault="001F699D">
          <w:pPr>
            <w:pStyle w:val="TOC1"/>
            <w:tabs>
              <w:tab w:val="right" w:leader="dot" w:pos="9016"/>
            </w:tabs>
            <w:rPr>
              <w:rFonts w:eastAsiaTheme="minorEastAsia"/>
              <w:noProof/>
              <w:lang w:eastAsia="en-IE"/>
            </w:rPr>
          </w:pPr>
          <w:hyperlink w:anchor="_Toc103266211" w:history="1">
            <w:r w:rsidR="00E904A3" w:rsidRPr="004865DA">
              <w:rPr>
                <w:rStyle w:val="Hyperlink"/>
                <w:noProof/>
              </w:rPr>
              <w:t>SECTION 6: ISSUES FOR PRIVATE LANDLORDS</w:t>
            </w:r>
            <w:r w:rsidR="00E904A3">
              <w:rPr>
                <w:noProof/>
                <w:webHidden/>
              </w:rPr>
              <w:tab/>
            </w:r>
            <w:r w:rsidR="00E904A3">
              <w:rPr>
                <w:noProof/>
                <w:webHidden/>
              </w:rPr>
              <w:fldChar w:fldCharType="begin"/>
            </w:r>
            <w:r w:rsidR="00E904A3">
              <w:rPr>
                <w:noProof/>
                <w:webHidden/>
              </w:rPr>
              <w:instrText xml:space="preserve"> PAGEREF _Toc103266211 \h </w:instrText>
            </w:r>
            <w:r w:rsidR="00E904A3">
              <w:rPr>
                <w:noProof/>
                <w:webHidden/>
              </w:rPr>
            </w:r>
            <w:r w:rsidR="00E904A3">
              <w:rPr>
                <w:noProof/>
                <w:webHidden/>
              </w:rPr>
              <w:fldChar w:fldCharType="separate"/>
            </w:r>
            <w:r w:rsidR="00327043">
              <w:rPr>
                <w:noProof/>
                <w:webHidden/>
              </w:rPr>
              <w:t>24</w:t>
            </w:r>
            <w:r w:rsidR="00E904A3">
              <w:rPr>
                <w:noProof/>
                <w:webHidden/>
              </w:rPr>
              <w:fldChar w:fldCharType="end"/>
            </w:r>
          </w:hyperlink>
        </w:p>
        <w:p w14:paraId="3988F608" w14:textId="051B82E1" w:rsidR="00E904A3" w:rsidRDefault="001F699D">
          <w:pPr>
            <w:pStyle w:val="TOC1"/>
            <w:tabs>
              <w:tab w:val="right" w:leader="dot" w:pos="9016"/>
            </w:tabs>
            <w:rPr>
              <w:rFonts w:eastAsiaTheme="minorEastAsia"/>
              <w:noProof/>
              <w:lang w:eastAsia="en-IE"/>
            </w:rPr>
          </w:pPr>
          <w:hyperlink w:anchor="_Toc103266212" w:history="1">
            <w:r w:rsidR="00E904A3" w:rsidRPr="004865DA">
              <w:rPr>
                <w:rStyle w:val="Hyperlink"/>
                <w:noProof/>
              </w:rPr>
              <w:t>CONCLUSIONS</w:t>
            </w:r>
            <w:r w:rsidR="00E904A3">
              <w:rPr>
                <w:noProof/>
                <w:webHidden/>
              </w:rPr>
              <w:tab/>
            </w:r>
            <w:r w:rsidR="00E904A3">
              <w:rPr>
                <w:noProof/>
                <w:webHidden/>
              </w:rPr>
              <w:fldChar w:fldCharType="begin"/>
            </w:r>
            <w:r w:rsidR="00E904A3">
              <w:rPr>
                <w:noProof/>
                <w:webHidden/>
              </w:rPr>
              <w:instrText xml:space="preserve"> PAGEREF _Toc103266212 \h </w:instrText>
            </w:r>
            <w:r w:rsidR="00E904A3">
              <w:rPr>
                <w:noProof/>
                <w:webHidden/>
              </w:rPr>
            </w:r>
            <w:r w:rsidR="00E904A3">
              <w:rPr>
                <w:noProof/>
                <w:webHidden/>
              </w:rPr>
              <w:fldChar w:fldCharType="separate"/>
            </w:r>
            <w:r w:rsidR="00327043">
              <w:rPr>
                <w:noProof/>
                <w:webHidden/>
              </w:rPr>
              <w:t>30</w:t>
            </w:r>
            <w:r w:rsidR="00E904A3">
              <w:rPr>
                <w:noProof/>
                <w:webHidden/>
              </w:rPr>
              <w:fldChar w:fldCharType="end"/>
            </w:r>
          </w:hyperlink>
        </w:p>
        <w:p w14:paraId="56535431" w14:textId="196F08D2" w:rsidR="00E904A3" w:rsidRDefault="001F699D">
          <w:pPr>
            <w:pStyle w:val="TOC1"/>
            <w:tabs>
              <w:tab w:val="right" w:leader="dot" w:pos="9016"/>
            </w:tabs>
            <w:rPr>
              <w:rFonts w:eastAsiaTheme="minorEastAsia"/>
              <w:noProof/>
              <w:lang w:eastAsia="en-IE"/>
            </w:rPr>
          </w:pPr>
          <w:hyperlink w:anchor="_Toc103266213" w:history="1">
            <w:r w:rsidR="00E904A3" w:rsidRPr="004865DA">
              <w:rPr>
                <w:rStyle w:val="Hyperlink"/>
                <w:noProof/>
              </w:rPr>
              <w:t>APPENDIX 1: EXAMPLE OF RENTAL TAX ACCOUNT</w:t>
            </w:r>
            <w:r w:rsidR="00E904A3">
              <w:rPr>
                <w:noProof/>
                <w:webHidden/>
              </w:rPr>
              <w:tab/>
            </w:r>
            <w:r w:rsidR="00E904A3">
              <w:rPr>
                <w:noProof/>
                <w:webHidden/>
              </w:rPr>
              <w:fldChar w:fldCharType="begin"/>
            </w:r>
            <w:r w:rsidR="00E904A3">
              <w:rPr>
                <w:noProof/>
                <w:webHidden/>
              </w:rPr>
              <w:instrText xml:space="preserve"> PAGEREF _Toc103266213 \h </w:instrText>
            </w:r>
            <w:r w:rsidR="00E904A3">
              <w:rPr>
                <w:noProof/>
                <w:webHidden/>
              </w:rPr>
            </w:r>
            <w:r w:rsidR="00E904A3">
              <w:rPr>
                <w:noProof/>
                <w:webHidden/>
              </w:rPr>
              <w:fldChar w:fldCharType="separate"/>
            </w:r>
            <w:r w:rsidR="00327043">
              <w:rPr>
                <w:noProof/>
                <w:webHidden/>
              </w:rPr>
              <w:t>32</w:t>
            </w:r>
            <w:r w:rsidR="00E904A3">
              <w:rPr>
                <w:noProof/>
                <w:webHidden/>
              </w:rPr>
              <w:fldChar w:fldCharType="end"/>
            </w:r>
          </w:hyperlink>
        </w:p>
        <w:p w14:paraId="29D01078" w14:textId="55D1B9FC" w:rsidR="00186D57" w:rsidRDefault="00186D57">
          <w:r>
            <w:rPr>
              <w:b/>
              <w:bCs/>
              <w:noProof/>
            </w:rPr>
            <w:fldChar w:fldCharType="end"/>
          </w:r>
        </w:p>
      </w:sdtContent>
    </w:sdt>
    <w:p w14:paraId="3CF376B1" w14:textId="77777777" w:rsidR="00186D57" w:rsidRDefault="00186D57">
      <w:pPr>
        <w:rPr>
          <w:rFonts w:asciiTheme="majorHAnsi" w:eastAsiaTheme="majorEastAsia" w:hAnsiTheme="majorHAnsi" w:cstheme="majorBidi"/>
          <w:color w:val="2F5496" w:themeColor="accent1" w:themeShade="BF"/>
          <w:sz w:val="32"/>
          <w:szCs w:val="32"/>
        </w:rPr>
      </w:pPr>
      <w:r>
        <w:br w:type="page"/>
      </w:r>
    </w:p>
    <w:p w14:paraId="261710AA" w14:textId="2D07D43C" w:rsidR="00A61183" w:rsidRDefault="00A61183" w:rsidP="007F2366">
      <w:pPr>
        <w:pStyle w:val="Heading1"/>
        <w:jc w:val="both"/>
      </w:pPr>
      <w:bookmarkStart w:id="0" w:name="_Toc103266204"/>
      <w:r>
        <w:lastRenderedPageBreak/>
        <w:t>EXECUTIVE SUMMARY</w:t>
      </w:r>
      <w:bookmarkEnd w:id="0"/>
    </w:p>
    <w:p w14:paraId="01093D30" w14:textId="5848B2BB" w:rsidR="00A61183" w:rsidRDefault="00A61183" w:rsidP="007F2366">
      <w:pPr>
        <w:jc w:val="both"/>
      </w:pPr>
    </w:p>
    <w:p w14:paraId="01F78213" w14:textId="31B38678" w:rsidR="00D17768" w:rsidRPr="001C61B1" w:rsidRDefault="00D17768" w:rsidP="007F2366">
      <w:pPr>
        <w:pStyle w:val="ListParagraph"/>
        <w:numPr>
          <w:ilvl w:val="0"/>
          <w:numId w:val="19"/>
        </w:numPr>
        <w:jc w:val="both"/>
        <w:rPr>
          <w:sz w:val="24"/>
          <w:szCs w:val="24"/>
        </w:rPr>
      </w:pPr>
      <w:r w:rsidRPr="001C61B1">
        <w:rPr>
          <w:sz w:val="24"/>
          <w:szCs w:val="24"/>
        </w:rPr>
        <w:t xml:space="preserve">From an economic, social and political perspective, housing is currently the greatest challenge facing Irish policymakers. The housing challenge is manifested in a lack of supply of owner-occupier and rental properties; prohibitively high house prices and rents; and a serious problem of homelessness. </w:t>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p>
    <w:p w14:paraId="0F45CE06" w14:textId="36B8075F" w:rsidR="00D17768" w:rsidRPr="001C61B1" w:rsidRDefault="00D17768" w:rsidP="007F2366">
      <w:pPr>
        <w:pStyle w:val="ListParagraph"/>
        <w:numPr>
          <w:ilvl w:val="0"/>
          <w:numId w:val="19"/>
        </w:numPr>
        <w:jc w:val="both"/>
        <w:rPr>
          <w:sz w:val="24"/>
          <w:szCs w:val="24"/>
        </w:rPr>
      </w:pPr>
      <w:r w:rsidRPr="001C61B1">
        <w:rPr>
          <w:sz w:val="24"/>
          <w:szCs w:val="24"/>
        </w:rPr>
        <w:t>A properly functioning housing market is an essential ingredient of a properly functioning economy and society. The challenge for policymakers is to ensure that there is an adequate supply and availability of suitable housing for those who want to buy and for those who want to rent at costs that are affordable. This situation does not exist at the moment, so policymakers need to adjust the model to correct market failures.</w:t>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p>
    <w:p w14:paraId="6CB1B05E" w14:textId="1C152E68" w:rsidR="001C61B1" w:rsidRPr="001C61B1" w:rsidRDefault="00D17768" w:rsidP="007F2366">
      <w:pPr>
        <w:pStyle w:val="ListParagraph"/>
        <w:numPr>
          <w:ilvl w:val="0"/>
          <w:numId w:val="19"/>
        </w:numPr>
        <w:jc w:val="both"/>
        <w:rPr>
          <w:sz w:val="24"/>
          <w:szCs w:val="24"/>
        </w:rPr>
      </w:pPr>
      <w:r w:rsidRPr="001C61B1">
        <w:rPr>
          <w:sz w:val="24"/>
          <w:szCs w:val="24"/>
        </w:rPr>
        <w:t xml:space="preserve">House prices are continuing to rise </w:t>
      </w:r>
      <w:r w:rsidR="00CF5980" w:rsidRPr="001F699D">
        <w:rPr>
          <w:sz w:val="24"/>
          <w:szCs w:val="24"/>
        </w:rPr>
        <w:t>strongly,</w:t>
      </w:r>
      <w:r w:rsidRPr="001F699D">
        <w:rPr>
          <w:sz w:val="24"/>
          <w:szCs w:val="24"/>
        </w:rPr>
        <w:t xml:space="preserve"> and this </w:t>
      </w:r>
      <w:r w:rsidR="00CF5980" w:rsidRPr="001F699D">
        <w:rPr>
          <w:sz w:val="24"/>
          <w:szCs w:val="24"/>
        </w:rPr>
        <w:t xml:space="preserve">is </w:t>
      </w:r>
      <w:r w:rsidRPr="001F699D">
        <w:rPr>
          <w:sz w:val="24"/>
          <w:szCs w:val="24"/>
        </w:rPr>
        <w:t xml:space="preserve">creating </w:t>
      </w:r>
      <w:r w:rsidRPr="001C61B1">
        <w:rPr>
          <w:sz w:val="24"/>
          <w:szCs w:val="24"/>
        </w:rPr>
        <w:t>significant affordability problems for aspiring house buyers. This is feeding into the rental market.</w:t>
      </w:r>
      <w:r w:rsidR="001C61B1" w:rsidRPr="001C61B1">
        <w:rPr>
          <w:sz w:val="24"/>
          <w:szCs w:val="24"/>
        </w:rPr>
        <w:t xml:space="preserve"> The lack of adequate housing supply is a key part of the problem. Building activity collapsed after the great financial crash in 2008, but the supply of new dwelling units has been gradually increasing since 2014. Between 2011 and 2020, the average number of dwellings completed was 12,123. Ireland needs average annual completions of at least 35,000 to satisfy future demand. </w:t>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p>
    <w:p w14:paraId="3DC7958C" w14:textId="591F2A79" w:rsidR="00D17768" w:rsidRPr="001C61B1" w:rsidRDefault="00D17768" w:rsidP="007F2366">
      <w:pPr>
        <w:pStyle w:val="ListParagraph"/>
        <w:numPr>
          <w:ilvl w:val="0"/>
          <w:numId w:val="19"/>
        </w:numPr>
        <w:jc w:val="both"/>
        <w:rPr>
          <w:sz w:val="24"/>
          <w:szCs w:val="24"/>
        </w:rPr>
      </w:pPr>
      <w:r w:rsidRPr="001C61B1">
        <w:rPr>
          <w:sz w:val="24"/>
          <w:szCs w:val="24"/>
        </w:rPr>
        <w:t xml:space="preserve">In 2006, Residential Investment Letting (RIL) accounted for 19.9 per cent of total mortgage lending at €7.9 billion. In 2021, investors accounted for just 1.4 per cent of the total market at €143 million. First-time buyers represent the most significant component of the overall market. This collapse in private investor participation in the market is symptomatic of the manner in which the private residential rental market has evolved in recent years. </w:t>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r w:rsidR="001C61B1">
        <w:rPr>
          <w:sz w:val="24"/>
          <w:szCs w:val="24"/>
        </w:rPr>
        <w:tab/>
      </w:r>
    </w:p>
    <w:p w14:paraId="7CC8114C" w14:textId="77997E8A" w:rsidR="001C61B1" w:rsidRPr="00510A91" w:rsidRDefault="001C61B1" w:rsidP="007F2366">
      <w:pPr>
        <w:pStyle w:val="ListParagraph"/>
        <w:numPr>
          <w:ilvl w:val="0"/>
          <w:numId w:val="19"/>
        </w:numPr>
        <w:spacing w:after="0" w:line="240" w:lineRule="auto"/>
        <w:jc w:val="both"/>
        <w:rPr>
          <w:sz w:val="24"/>
          <w:szCs w:val="24"/>
        </w:rPr>
      </w:pPr>
      <w:r w:rsidRPr="001C61B1">
        <w:rPr>
          <w:sz w:val="24"/>
          <w:szCs w:val="24"/>
        </w:rPr>
        <w:t xml:space="preserve">A properly functioning housing market requires an adequate supply of affordable properties to rent and to buy. The ongoing escalation in house prices poses a significant challenge to policy makers, but the rental market is in a state of crisis and is functioning in a sub-optimal manner. The increasing cost of rent and the lack of an adequate supply of rental properties encapsulate the problem and the challenge. Private landlords are exiting the market in significant numbers and this is exacerbating the rental crisis. </w:t>
      </w:r>
    </w:p>
    <w:p w14:paraId="3E3BF7CD" w14:textId="264FC1AE" w:rsidR="005B2C5C" w:rsidRDefault="00A61183" w:rsidP="007F2366">
      <w:pPr>
        <w:pStyle w:val="ListParagraph"/>
        <w:numPr>
          <w:ilvl w:val="0"/>
          <w:numId w:val="19"/>
        </w:numPr>
        <w:jc w:val="both"/>
        <w:rPr>
          <w:sz w:val="24"/>
          <w:szCs w:val="24"/>
        </w:rPr>
      </w:pPr>
      <w:r w:rsidRPr="001C61B1">
        <w:rPr>
          <w:sz w:val="24"/>
          <w:szCs w:val="24"/>
        </w:rPr>
        <w:t xml:space="preserve">It is clear from survey and research data from </w:t>
      </w:r>
      <w:proofErr w:type="spellStart"/>
      <w:r w:rsidRPr="001C61B1">
        <w:rPr>
          <w:sz w:val="24"/>
          <w:szCs w:val="24"/>
        </w:rPr>
        <w:t>Amárach</w:t>
      </w:r>
      <w:proofErr w:type="spellEnd"/>
      <w:r w:rsidRPr="001C61B1">
        <w:rPr>
          <w:sz w:val="24"/>
          <w:szCs w:val="24"/>
        </w:rPr>
        <w:t xml:space="preserve"> Research, Sherry FitzGerald, IPAV &amp; IPOA that private non-institutional landlords are finding the current regulatory and taxation environment very challenging. This is causing an exit of private landlords from the market and is reducing the supply of rental property </w:t>
      </w:r>
      <w:r w:rsidR="00983D83" w:rsidRPr="001C61B1">
        <w:rPr>
          <w:sz w:val="24"/>
          <w:szCs w:val="24"/>
        </w:rPr>
        <w:t xml:space="preserve">and putting upward pressure on rents </w:t>
      </w:r>
      <w:r w:rsidRPr="001C61B1">
        <w:rPr>
          <w:sz w:val="24"/>
          <w:szCs w:val="24"/>
        </w:rPr>
        <w:t xml:space="preserve">at a time when significant increases are required to satisfy demand and create a functioning residential property market. </w:t>
      </w:r>
    </w:p>
    <w:p w14:paraId="1D399683" w14:textId="77777777" w:rsidR="007F2366" w:rsidRPr="007F2366" w:rsidRDefault="007F2366" w:rsidP="007F2366">
      <w:pPr>
        <w:pStyle w:val="ListParagraph"/>
        <w:rPr>
          <w:sz w:val="24"/>
          <w:szCs w:val="24"/>
        </w:rPr>
      </w:pPr>
    </w:p>
    <w:p w14:paraId="689AFF1B" w14:textId="77777777" w:rsidR="007F2366" w:rsidRDefault="007F2366" w:rsidP="007F2366">
      <w:pPr>
        <w:pStyle w:val="ListParagraph"/>
        <w:jc w:val="both"/>
        <w:rPr>
          <w:sz w:val="24"/>
          <w:szCs w:val="24"/>
        </w:rPr>
      </w:pPr>
    </w:p>
    <w:p w14:paraId="5CE41170" w14:textId="77777777" w:rsidR="00510A91" w:rsidRDefault="00510A91" w:rsidP="007F2366">
      <w:pPr>
        <w:jc w:val="both"/>
        <w:rPr>
          <w:sz w:val="24"/>
          <w:szCs w:val="24"/>
        </w:rPr>
      </w:pPr>
    </w:p>
    <w:p w14:paraId="59D71C7B" w14:textId="77777777" w:rsidR="00510A91" w:rsidRDefault="00510A91" w:rsidP="007F2366">
      <w:pPr>
        <w:jc w:val="both"/>
        <w:rPr>
          <w:sz w:val="24"/>
          <w:szCs w:val="24"/>
        </w:rPr>
      </w:pPr>
    </w:p>
    <w:p w14:paraId="56854213" w14:textId="347DD167" w:rsidR="00CB0096" w:rsidRPr="00075879" w:rsidRDefault="00CB0096" w:rsidP="007F2366">
      <w:pPr>
        <w:jc w:val="both"/>
        <w:rPr>
          <w:sz w:val="24"/>
          <w:szCs w:val="24"/>
        </w:rPr>
      </w:pPr>
      <w:r w:rsidRPr="00075879">
        <w:rPr>
          <w:sz w:val="24"/>
          <w:szCs w:val="24"/>
        </w:rPr>
        <w:t>There are a number of issues forcing the exit of private landlords from the market:</w:t>
      </w:r>
    </w:p>
    <w:p w14:paraId="7CC60563" w14:textId="7845A158" w:rsidR="00075879" w:rsidRPr="00396742" w:rsidRDefault="00CB0096" w:rsidP="007F2366">
      <w:pPr>
        <w:pStyle w:val="ListParagraph"/>
        <w:numPr>
          <w:ilvl w:val="0"/>
          <w:numId w:val="37"/>
        </w:numPr>
        <w:jc w:val="both"/>
        <w:rPr>
          <w:sz w:val="24"/>
          <w:szCs w:val="24"/>
        </w:rPr>
      </w:pPr>
      <w:r w:rsidRPr="00396742">
        <w:rPr>
          <w:sz w:val="24"/>
          <w:szCs w:val="24"/>
        </w:rPr>
        <w:t>Rent pressure zones</w:t>
      </w:r>
      <w:r w:rsidR="00510A91">
        <w:rPr>
          <w:sz w:val="24"/>
          <w:szCs w:val="24"/>
        </w:rPr>
        <w:t xml:space="preserve"> (RPZs)</w:t>
      </w:r>
      <w:r w:rsidRPr="00396742">
        <w:rPr>
          <w:sz w:val="24"/>
          <w:szCs w:val="24"/>
        </w:rPr>
        <w:t xml:space="preserve"> have </w:t>
      </w:r>
      <w:r w:rsidR="00075879" w:rsidRPr="00396742">
        <w:rPr>
          <w:sz w:val="24"/>
          <w:szCs w:val="24"/>
        </w:rPr>
        <w:t xml:space="preserve">prevented rents from rising and have also prevented rents from falling. </w:t>
      </w:r>
      <w:r w:rsidR="002A098E" w:rsidRPr="002A098E">
        <w:rPr>
          <w:sz w:val="24"/>
          <w:szCs w:val="24"/>
        </w:rPr>
        <w:t>Landlords have been forced to accept whatever rent they were charging pre</w:t>
      </w:r>
      <w:r w:rsidR="002A098E">
        <w:rPr>
          <w:sz w:val="24"/>
          <w:szCs w:val="24"/>
        </w:rPr>
        <w:t>-</w:t>
      </w:r>
      <w:r w:rsidR="002A098E" w:rsidRPr="002A098E">
        <w:rPr>
          <w:sz w:val="24"/>
          <w:szCs w:val="24"/>
        </w:rPr>
        <w:t>RPZ, even though there have been annual increases in rents but the lower the starting rent was</w:t>
      </w:r>
      <w:r w:rsidR="002A098E">
        <w:rPr>
          <w:sz w:val="24"/>
          <w:szCs w:val="24"/>
        </w:rPr>
        <w:t>,</w:t>
      </w:r>
      <w:r w:rsidR="002A098E" w:rsidRPr="002A098E">
        <w:rPr>
          <w:sz w:val="24"/>
          <w:szCs w:val="24"/>
        </w:rPr>
        <w:t xml:space="preserve"> the lower the annual increase</w:t>
      </w:r>
      <w:r w:rsidR="002A098E">
        <w:rPr>
          <w:sz w:val="24"/>
          <w:szCs w:val="24"/>
        </w:rPr>
        <w:t xml:space="preserve"> in monetary terms</w:t>
      </w:r>
      <w:r w:rsidR="002A098E" w:rsidRPr="002A098E">
        <w:rPr>
          <w:sz w:val="24"/>
          <w:szCs w:val="24"/>
        </w:rPr>
        <w:t>, so some landlords are falling more behind actual market rent</w:t>
      </w:r>
      <w:r w:rsidR="002A098E">
        <w:rPr>
          <w:sz w:val="24"/>
          <w:szCs w:val="24"/>
        </w:rPr>
        <w:t>s</w:t>
      </w:r>
      <w:r w:rsidR="002A098E" w:rsidRPr="002A098E">
        <w:rPr>
          <w:sz w:val="24"/>
          <w:szCs w:val="24"/>
        </w:rPr>
        <w:t xml:space="preserve"> all the time</w:t>
      </w:r>
      <w:r w:rsidR="002A098E" w:rsidRPr="00874EA4">
        <w:rPr>
          <w:sz w:val="24"/>
          <w:szCs w:val="24"/>
        </w:rPr>
        <w:t>.</w:t>
      </w:r>
      <w:r w:rsidR="002A098E" w:rsidRPr="005525E2">
        <w:rPr>
          <w:color w:val="FF0000"/>
          <w:sz w:val="24"/>
          <w:szCs w:val="24"/>
        </w:rPr>
        <w:t xml:space="preserve"> </w:t>
      </w:r>
      <w:r w:rsidR="002A098E">
        <w:rPr>
          <w:sz w:val="24"/>
          <w:szCs w:val="24"/>
        </w:rPr>
        <w:t>RPZs</w:t>
      </w:r>
      <w:r w:rsidR="00075879" w:rsidRPr="00396742">
        <w:rPr>
          <w:sz w:val="24"/>
          <w:szCs w:val="24"/>
        </w:rPr>
        <w:t xml:space="preserve"> have resulted in significant rent rigidities in the market and have contributed to the creation of an inefficient 2-tier market where the proper maintenance of rental quality is not economically justifiable. </w:t>
      </w:r>
      <w:r w:rsidR="00396742">
        <w:rPr>
          <w:sz w:val="24"/>
          <w:szCs w:val="24"/>
        </w:rPr>
        <w:tab/>
      </w:r>
      <w:r w:rsidR="00780955">
        <w:rPr>
          <w:sz w:val="24"/>
          <w:szCs w:val="24"/>
        </w:rPr>
        <w:tab/>
      </w:r>
      <w:r w:rsidR="00780955">
        <w:rPr>
          <w:sz w:val="24"/>
          <w:szCs w:val="24"/>
        </w:rPr>
        <w:tab/>
      </w:r>
      <w:r w:rsidR="00780955">
        <w:rPr>
          <w:sz w:val="24"/>
          <w:szCs w:val="24"/>
        </w:rPr>
        <w:tab/>
      </w:r>
      <w:r w:rsidR="00396742">
        <w:rPr>
          <w:sz w:val="24"/>
          <w:szCs w:val="24"/>
        </w:rPr>
        <w:tab/>
      </w:r>
      <w:r w:rsidR="00396742">
        <w:rPr>
          <w:sz w:val="24"/>
          <w:szCs w:val="24"/>
        </w:rPr>
        <w:tab/>
      </w:r>
      <w:r w:rsidR="00396742">
        <w:rPr>
          <w:sz w:val="24"/>
          <w:szCs w:val="24"/>
        </w:rPr>
        <w:tab/>
      </w:r>
    </w:p>
    <w:p w14:paraId="04E5EBCE" w14:textId="42C1EC1F" w:rsidR="00150B2F" w:rsidRPr="00510A91" w:rsidRDefault="00780955" w:rsidP="00510A91">
      <w:pPr>
        <w:pStyle w:val="ListParagraph"/>
        <w:numPr>
          <w:ilvl w:val="0"/>
          <w:numId w:val="37"/>
        </w:numPr>
        <w:jc w:val="both"/>
        <w:rPr>
          <w:sz w:val="24"/>
          <w:szCs w:val="24"/>
        </w:rPr>
      </w:pPr>
      <w:r w:rsidRPr="00780955">
        <w:rPr>
          <w:sz w:val="24"/>
          <w:szCs w:val="24"/>
        </w:rPr>
        <w:t>If properties that have not been allowed to charge or increase their rent to market rent</w:t>
      </w:r>
      <w:r>
        <w:rPr>
          <w:sz w:val="24"/>
          <w:szCs w:val="24"/>
        </w:rPr>
        <w:t>s</w:t>
      </w:r>
      <w:r w:rsidRPr="00780955">
        <w:rPr>
          <w:sz w:val="24"/>
          <w:szCs w:val="24"/>
        </w:rPr>
        <w:t xml:space="preserve"> in a RPZ are being sold to other investors, their capital market value is likely to be devalued if an acceptable rental yield is to be </w:t>
      </w:r>
      <w:r>
        <w:rPr>
          <w:sz w:val="24"/>
          <w:szCs w:val="24"/>
        </w:rPr>
        <w:t>achievable</w:t>
      </w:r>
      <w:r w:rsidR="007D4573">
        <w:rPr>
          <w:sz w:val="24"/>
          <w:szCs w:val="24"/>
        </w:rPr>
        <w:t xml:space="preserve"> </w:t>
      </w:r>
      <w:r w:rsidRPr="001F699D">
        <w:rPr>
          <w:sz w:val="24"/>
          <w:szCs w:val="24"/>
        </w:rPr>
        <w:t>f</w:t>
      </w:r>
      <w:r w:rsidR="00CF5980" w:rsidRPr="001F699D">
        <w:rPr>
          <w:sz w:val="24"/>
          <w:szCs w:val="24"/>
        </w:rPr>
        <w:t>rom</w:t>
      </w:r>
      <w:r w:rsidRPr="001F699D">
        <w:rPr>
          <w:sz w:val="24"/>
          <w:szCs w:val="24"/>
        </w:rPr>
        <w:t xml:space="preserve"> a</w:t>
      </w:r>
      <w:r w:rsidRPr="00780955">
        <w:rPr>
          <w:sz w:val="24"/>
          <w:szCs w:val="24"/>
        </w:rPr>
        <w:t xml:space="preserve"> prospective investor. This means that exiting landlords in RPZs are unable to sell to other landlords due to that rental yield issue for other landlords</w:t>
      </w:r>
      <w:r>
        <w:rPr>
          <w:sz w:val="24"/>
          <w:szCs w:val="24"/>
        </w:rPr>
        <w:t xml:space="preserve">. They </w:t>
      </w:r>
      <w:r w:rsidRPr="00780955">
        <w:rPr>
          <w:sz w:val="24"/>
          <w:szCs w:val="24"/>
        </w:rPr>
        <w:t>must gain vacant possession of their property and sell to a purchaser that is going to live in the property to gain the full market value of their property and so the supply of rental properties is diminishing all the time.</w:t>
      </w:r>
      <w:r w:rsidR="00396742" w:rsidRPr="00510A91">
        <w:rPr>
          <w:sz w:val="24"/>
          <w:szCs w:val="24"/>
        </w:rPr>
        <w:tab/>
      </w:r>
    </w:p>
    <w:p w14:paraId="0393E21B" w14:textId="797768D7" w:rsidR="00150B2F" w:rsidRPr="00396742" w:rsidRDefault="00150B2F" w:rsidP="007F2366">
      <w:pPr>
        <w:pStyle w:val="ListParagraph"/>
        <w:numPr>
          <w:ilvl w:val="0"/>
          <w:numId w:val="37"/>
        </w:numPr>
        <w:jc w:val="both"/>
        <w:rPr>
          <w:sz w:val="24"/>
          <w:szCs w:val="24"/>
        </w:rPr>
      </w:pPr>
      <w:r w:rsidRPr="00396742">
        <w:rPr>
          <w:sz w:val="24"/>
          <w:szCs w:val="24"/>
        </w:rPr>
        <w:t>The taxation treatment of private landlords compared to institutional landlords acts as a serious disincentive for private landlord participation in the market. Private landlords need to be treated fairly as they are a vital component of the rental property market.</w:t>
      </w:r>
      <w:r w:rsidR="00396742">
        <w:rPr>
          <w:sz w:val="24"/>
          <w:szCs w:val="24"/>
        </w:rPr>
        <w:tab/>
      </w:r>
      <w:r w:rsidR="00396742">
        <w:rPr>
          <w:sz w:val="24"/>
          <w:szCs w:val="24"/>
        </w:rPr>
        <w:tab/>
      </w:r>
      <w:r w:rsidR="00396742">
        <w:rPr>
          <w:sz w:val="24"/>
          <w:szCs w:val="24"/>
        </w:rPr>
        <w:tab/>
      </w:r>
      <w:r w:rsidR="00396742">
        <w:rPr>
          <w:sz w:val="24"/>
          <w:szCs w:val="24"/>
        </w:rPr>
        <w:tab/>
      </w:r>
      <w:r w:rsidR="00396742">
        <w:rPr>
          <w:sz w:val="24"/>
          <w:szCs w:val="24"/>
        </w:rPr>
        <w:tab/>
      </w:r>
      <w:r w:rsidR="00396742">
        <w:rPr>
          <w:sz w:val="24"/>
          <w:szCs w:val="24"/>
        </w:rPr>
        <w:tab/>
      </w:r>
      <w:r w:rsidR="00396742">
        <w:rPr>
          <w:sz w:val="24"/>
          <w:szCs w:val="24"/>
        </w:rPr>
        <w:tab/>
      </w:r>
      <w:r w:rsidR="00396742">
        <w:rPr>
          <w:sz w:val="24"/>
          <w:szCs w:val="24"/>
        </w:rPr>
        <w:tab/>
      </w:r>
      <w:r w:rsidR="00396742">
        <w:rPr>
          <w:sz w:val="24"/>
          <w:szCs w:val="24"/>
        </w:rPr>
        <w:tab/>
      </w:r>
      <w:r w:rsidR="00396742">
        <w:rPr>
          <w:sz w:val="24"/>
          <w:szCs w:val="24"/>
        </w:rPr>
        <w:tab/>
      </w:r>
    </w:p>
    <w:p w14:paraId="5B55D5FC" w14:textId="480DB480" w:rsidR="00150B2F" w:rsidRDefault="00150B2F" w:rsidP="007F2366">
      <w:pPr>
        <w:pStyle w:val="ListParagraph"/>
        <w:numPr>
          <w:ilvl w:val="0"/>
          <w:numId w:val="37"/>
        </w:numPr>
        <w:jc w:val="both"/>
        <w:rPr>
          <w:sz w:val="24"/>
          <w:szCs w:val="24"/>
        </w:rPr>
      </w:pPr>
      <w:r w:rsidRPr="00396742">
        <w:rPr>
          <w:sz w:val="24"/>
          <w:szCs w:val="24"/>
        </w:rPr>
        <w:t xml:space="preserve">The regulatory and taxation environment facing private landlords is constantly changing. There is no certainty or continuity and this prevents private landlords from engaging in long-term financial planning and management. </w:t>
      </w:r>
      <w:r w:rsidR="00780955">
        <w:rPr>
          <w:sz w:val="24"/>
          <w:szCs w:val="24"/>
        </w:rPr>
        <w:tab/>
      </w:r>
      <w:r w:rsidR="00780955">
        <w:rPr>
          <w:sz w:val="24"/>
          <w:szCs w:val="24"/>
        </w:rPr>
        <w:tab/>
      </w:r>
      <w:r w:rsidR="00780955">
        <w:rPr>
          <w:sz w:val="24"/>
          <w:szCs w:val="24"/>
        </w:rPr>
        <w:tab/>
      </w:r>
    </w:p>
    <w:p w14:paraId="1F5ABE70" w14:textId="227A7C9D" w:rsidR="00780955" w:rsidRPr="00780955" w:rsidRDefault="00780955" w:rsidP="007F2366">
      <w:pPr>
        <w:pStyle w:val="ListParagraph"/>
        <w:numPr>
          <w:ilvl w:val="0"/>
          <w:numId w:val="37"/>
        </w:numPr>
        <w:jc w:val="both"/>
        <w:rPr>
          <w:sz w:val="24"/>
          <w:szCs w:val="24"/>
        </w:rPr>
      </w:pPr>
      <w:r w:rsidRPr="00780955">
        <w:rPr>
          <w:sz w:val="24"/>
          <w:szCs w:val="24"/>
        </w:rPr>
        <w:t xml:space="preserve">New properties coming to the rental stock even though they are in </w:t>
      </w:r>
      <w:r>
        <w:rPr>
          <w:sz w:val="24"/>
          <w:szCs w:val="24"/>
        </w:rPr>
        <w:t xml:space="preserve">a </w:t>
      </w:r>
      <w:r w:rsidRPr="00780955">
        <w:rPr>
          <w:sz w:val="24"/>
          <w:szCs w:val="24"/>
        </w:rPr>
        <w:t>RPZ are free to charge what</w:t>
      </w:r>
      <w:r>
        <w:rPr>
          <w:sz w:val="24"/>
          <w:szCs w:val="24"/>
        </w:rPr>
        <w:t>ever</w:t>
      </w:r>
      <w:r w:rsidRPr="00780955">
        <w:rPr>
          <w:sz w:val="24"/>
          <w:szCs w:val="24"/>
        </w:rPr>
        <w:t xml:space="preserve"> rent the market will accept. </w:t>
      </w:r>
      <w:r>
        <w:rPr>
          <w:sz w:val="24"/>
          <w:szCs w:val="24"/>
        </w:rPr>
        <w:t>In theory this</w:t>
      </w:r>
      <w:r w:rsidR="00121489">
        <w:rPr>
          <w:color w:val="FF0000"/>
          <w:sz w:val="24"/>
          <w:szCs w:val="24"/>
        </w:rPr>
        <w:t xml:space="preserve"> </w:t>
      </w:r>
      <w:r w:rsidR="00121489" w:rsidRPr="00874EA4">
        <w:rPr>
          <w:sz w:val="24"/>
          <w:szCs w:val="24"/>
        </w:rPr>
        <w:t>is</w:t>
      </w:r>
      <w:r>
        <w:rPr>
          <w:sz w:val="24"/>
          <w:szCs w:val="24"/>
        </w:rPr>
        <w:t xml:space="preserve"> aimed at inducing n</w:t>
      </w:r>
      <w:r w:rsidRPr="00780955">
        <w:rPr>
          <w:sz w:val="24"/>
          <w:szCs w:val="24"/>
        </w:rPr>
        <w:t>ew properties into the rental stock. However instead of doing that</w:t>
      </w:r>
      <w:r>
        <w:rPr>
          <w:sz w:val="24"/>
          <w:szCs w:val="24"/>
        </w:rPr>
        <w:t>,</w:t>
      </w:r>
      <w:r w:rsidRPr="00780955">
        <w:rPr>
          <w:sz w:val="24"/>
          <w:szCs w:val="24"/>
        </w:rPr>
        <w:t xml:space="preserve"> it has encouraged landlords at the bottom of the market to leave as they can</w:t>
      </w:r>
      <w:r>
        <w:rPr>
          <w:sz w:val="24"/>
          <w:szCs w:val="24"/>
        </w:rPr>
        <w:t>not</w:t>
      </w:r>
      <w:r w:rsidRPr="00780955">
        <w:rPr>
          <w:sz w:val="24"/>
          <w:szCs w:val="24"/>
        </w:rPr>
        <w:t xml:space="preserve"> charge market rent</w:t>
      </w:r>
      <w:r>
        <w:rPr>
          <w:sz w:val="24"/>
          <w:szCs w:val="24"/>
        </w:rPr>
        <w:t>, to</w:t>
      </w:r>
      <w:r w:rsidRPr="00780955">
        <w:rPr>
          <w:sz w:val="24"/>
          <w:szCs w:val="24"/>
        </w:rPr>
        <w:t xml:space="preserve"> be replaced by properties with much higher rents.</w:t>
      </w:r>
    </w:p>
    <w:p w14:paraId="1CF5F1B4" w14:textId="6B2E0F91" w:rsidR="00A61183" w:rsidRPr="00075879" w:rsidRDefault="00150B2F" w:rsidP="007F2366">
      <w:pPr>
        <w:jc w:val="both"/>
        <w:rPr>
          <w:rFonts w:asciiTheme="majorHAnsi" w:eastAsiaTheme="majorEastAsia" w:hAnsiTheme="majorHAnsi" w:cstheme="majorBidi"/>
          <w:color w:val="2F5496" w:themeColor="accent1" w:themeShade="BF"/>
          <w:sz w:val="24"/>
          <w:szCs w:val="24"/>
        </w:rPr>
      </w:pPr>
      <w:r>
        <w:rPr>
          <w:sz w:val="24"/>
          <w:szCs w:val="24"/>
        </w:rPr>
        <w:t xml:space="preserve">The net result of these factors is that private landlords are exiting the market and those seeking to rent properties are the ultimate losers. This is not good for society, the economy or the political system. There has to be a move away from policies that discriminate against private landlords and which give them little incentive to participate in the rental property market. If private landlords continue to exit the market, the situation is going to get worse. </w:t>
      </w:r>
      <w:r w:rsidR="00A61183" w:rsidRPr="00075879">
        <w:rPr>
          <w:sz w:val="24"/>
          <w:szCs w:val="24"/>
        </w:rPr>
        <w:br w:type="page"/>
      </w:r>
    </w:p>
    <w:p w14:paraId="006E14F6" w14:textId="77777777" w:rsidR="005B2C5C" w:rsidRDefault="00EB3E7F" w:rsidP="007F2366">
      <w:pPr>
        <w:pStyle w:val="Heading1"/>
        <w:tabs>
          <w:tab w:val="left" w:pos="6576"/>
        </w:tabs>
        <w:jc w:val="both"/>
      </w:pPr>
      <w:bookmarkStart w:id="1" w:name="_Toc103266205"/>
      <w:r>
        <w:lastRenderedPageBreak/>
        <w:t>INTRODUCTION</w:t>
      </w:r>
      <w:bookmarkEnd w:id="1"/>
    </w:p>
    <w:p w14:paraId="27B0A9D2" w14:textId="107C023A" w:rsidR="0020311E" w:rsidRPr="00E413E9" w:rsidRDefault="00E413E9" w:rsidP="007F2366">
      <w:pPr>
        <w:pStyle w:val="Heading1"/>
        <w:tabs>
          <w:tab w:val="left" w:pos="6576"/>
        </w:tabs>
        <w:jc w:val="both"/>
      </w:pPr>
      <w:r>
        <w:tab/>
      </w:r>
    </w:p>
    <w:p w14:paraId="5FA205AF" w14:textId="6D7B5758" w:rsidR="005B2C5C" w:rsidRDefault="005B2C5C" w:rsidP="007F2366">
      <w:pPr>
        <w:jc w:val="both"/>
        <w:rPr>
          <w:sz w:val="24"/>
          <w:szCs w:val="24"/>
        </w:rPr>
      </w:pPr>
      <w:r>
        <w:rPr>
          <w:sz w:val="24"/>
          <w:szCs w:val="24"/>
        </w:rPr>
        <w:t>From an economic, social and political perspective, h</w:t>
      </w:r>
      <w:r w:rsidRPr="00E2373D">
        <w:rPr>
          <w:sz w:val="24"/>
          <w:szCs w:val="24"/>
        </w:rPr>
        <w:t xml:space="preserve">ousing is currently the greatest challenge facing </w:t>
      </w:r>
      <w:r>
        <w:rPr>
          <w:sz w:val="24"/>
          <w:szCs w:val="24"/>
        </w:rPr>
        <w:t xml:space="preserve">Irish policymakers. </w:t>
      </w:r>
      <w:r w:rsidRPr="00E2373D">
        <w:rPr>
          <w:sz w:val="24"/>
          <w:szCs w:val="24"/>
        </w:rPr>
        <w:t xml:space="preserve">The housing </w:t>
      </w:r>
      <w:r>
        <w:rPr>
          <w:sz w:val="24"/>
          <w:szCs w:val="24"/>
        </w:rPr>
        <w:t>challenge</w:t>
      </w:r>
      <w:r w:rsidRPr="00E2373D">
        <w:rPr>
          <w:sz w:val="24"/>
          <w:szCs w:val="24"/>
        </w:rPr>
        <w:t xml:space="preserve"> is manifested in a lack of supply of owner-occupier and rental properties; prohibitively high house prices and rents; and a serious problem of homelessness. </w:t>
      </w:r>
    </w:p>
    <w:p w14:paraId="65C0E6BC" w14:textId="2FD2AAE1" w:rsidR="005B2C5C" w:rsidRDefault="005B2C5C" w:rsidP="007F2366">
      <w:pPr>
        <w:jc w:val="both"/>
        <w:rPr>
          <w:sz w:val="24"/>
          <w:szCs w:val="24"/>
        </w:rPr>
      </w:pPr>
      <w:r>
        <w:rPr>
          <w:sz w:val="24"/>
          <w:szCs w:val="24"/>
        </w:rPr>
        <w:t xml:space="preserve">A properly functioning housing market is an essential ingredient of a properly functioning economy and society. The challenge for policymakers is to ensure that there is an adequate supply and availability of suitable housing for those who want to buy and for those who want to rent at costs that are affordable. </w:t>
      </w:r>
    </w:p>
    <w:p w14:paraId="3460A42C" w14:textId="77777777" w:rsidR="005B2C5C" w:rsidRDefault="005B2C5C" w:rsidP="007F2366">
      <w:pPr>
        <w:jc w:val="both"/>
        <w:rPr>
          <w:sz w:val="24"/>
          <w:szCs w:val="24"/>
        </w:rPr>
      </w:pPr>
      <w:r>
        <w:rPr>
          <w:sz w:val="24"/>
          <w:szCs w:val="24"/>
        </w:rPr>
        <w:t>The inability to provide an adequate supply of suitable and affordable housing supply for those who want to rent or buy has very negative economic and social consequences. These consequences include:</w:t>
      </w:r>
    </w:p>
    <w:p w14:paraId="7A86F8B5" w14:textId="77777777" w:rsidR="005B2C5C" w:rsidRPr="007440BD" w:rsidRDefault="005B2C5C" w:rsidP="007F2366">
      <w:pPr>
        <w:pStyle w:val="ListParagraph"/>
        <w:numPr>
          <w:ilvl w:val="0"/>
          <w:numId w:val="7"/>
        </w:numPr>
        <w:jc w:val="both"/>
        <w:rPr>
          <w:sz w:val="24"/>
          <w:szCs w:val="24"/>
        </w:rPr>
      </w:pPr>
      <w:r w:rsidRPr="007440BD">
        <w:rPr>
          <w:sz w:val="24"/>
          <w:szCs w:val="24"/>
        </w:rPr>
        <w:t>High and rising house prices take spending power out of the economy and force people to take on high and sometimes excessive levels of debt.</w:t>
      </w:r>
    </w:p>
    <w:p w14:paraId="270037F5" w14:textId="77777777" w:rsidR="005B2C5C" w:rsidRPr="00250DBF" w:rsidRDefault="005B2C5C" w:rsidP="007F2366">
      <w:pPr>
        <w:pStyle w:val="ListParagraph"/>
        <w:numPr>
          <w:ilvl w:val="0"/>
          <w:numId w:val="7"/>
        </w:numPr>
        <w:jc w:val="both"/>
        <w:rPr>
          <w:sz w:val="24"/>
          <w:szCs w:val="24"/>
        </w:rPr>
      </w:pPr>
      <w:r w:rsidRPr="00250DBF">
        <w:rPr>
          <w:sz w:val="24"/>
          <w:szCs w:val="24"/>
        </w:rPr>
        <w:t>High and rising rents take spending power out of the economy and render it very difficult for aspiring house buyers to build up a sufficient deposit.</w:t>
      </w:r>
    </w:p>
    <w:p w14:paraId="4E6F83C0" w14:textId="77777777" w:rsidR="005B2C5C" w:rsidRPr="00250DBF" w:rsidRDefault="005B2C5C" w:rsidP="007F2366">
      <w:pPr>
        <w:pStyle w:val="ListParagraph"/>
        <w:numPr>
          <w:ilvl w:val="0"/>
          <w:numId w:val="7"/>
        </w:numPr>
        <w:jc w:val="both"/>
        <w:rPr>
          <w:sz w:val="24"/>
          <w:szCs w:val="24"/>
        </w:rPr>
      </w:pPr>
      <w:r w:rsidRPr="00250DBF">
        <w:rPr>
          <w:sz w:val="24"/>
          <w:szCs w:val="24"/>
        </w:rPr>
        <w:t xml:space="preserve">High and rising house prices and rents put upward pressure on wages and </w:t>
      </w:r>
      <w:r>
        <w:rPr>
          <w:sz w:val="24"/>
          <w:szCs w:val="24"/>
        </w:rPr>
        <w:t>this undermines</w:t>
      </w:r>
      <w:r w:rsidRPr="00250DBF">
        <w:rPr>
          <w:sz w:val="24"/>
          <w:szCs w:val="24"/>
        </w:rPr>
        <w:t xml:space="preserve"> national competitiveness. </w:t>
      </w:r>
    </w:p>
    <w:p w14:paraId="271E3D1C" w14:textId="7ADDC00F" w:rsidR="005B2C5C" w:rsidRPr="00250DBF" w:rsidRDefault="005B2C5C" w:rsidP="007F2366">
      <w:pPr>
        <w:pStyle w:val="ListParagraph"/>
        <w:numPr>
          <w:ilvl w:val="0"/>
          <w:numId w:val="7"/>
        </w:numPr>
        <w:jc w:val="both"/>
        <w:rPr>
          <w:sz w:val="24"/>
          <w:szCs w:val="24"/>
        </w:rPr>
      </w:pPr>
      <w:r w:rsidRPr="00250DBF">
        <w:rPr>
          <w:sz w:val="24"/>
          <w:szCs w:val="24"/>
        </w:rPr>
        <w:t>The availability of an abundant supply of high-quality housing to rent or purchase at affordable prices is a key element of national competitiveness. With impending changes to Ireland’s corporation tax code, Ireland will have to increasingly compete for foreign direct investment on the basis of non-tax attributes. Housing will have to be seen as a key part of the overall offering. If there is a lack of affordable and high-quality housing to rent or to buy</w:t>
      </w:r>
      <w:r w:rsidRPr="00874EA4">
        <w:rPr>
          <w:sz w:val="24"/>
          <w:szCs w:val="24"/>
        </w:rPr>
        <w:t>, it will</w:t>
      </w:r>
      <w:r w:rsidR="00874EA4" w:rsidRPr="00874EA4">
        <w:rPr>
          <w:sz w:val="24"/>
          <w:szCs w:val="24"/>
        </w:rPr>
        <w:t xml:space="preserve"> consequently</w:t>
      </w:r>
      <w:r w:rsidRPr="00874EA4">
        <w:rPr>
          <w:sz w:val="24"/>
          <w:szCs w:val="24"/>
        </w:rPr>
        <w:t xml:space="preserve"> </w:t>
      </w:r>
      <w:r w:rsidR="00874EA4">
        <w:rPr>
          <w:sz w:val="24"/>
          <w:szCs w:val="24"/>
        </w:rPr>
        <w:t>be</w:t>
      </w:r>
      <w:r w:rsidRPr="00250DBF">
        <w:rPr>
          <w:sz w:val="24"/>
          <w:szCs w:val="24"/>
        </w:rPr>
        <w:t xml:space="preserve"> much more difficult to attract FDI into an area or a country.</w:t>
      </w:r>
    </w:p>
    <w:p w14:paraId="4E1B2547" w14:textId="77777777" w:rsidR="005B2C5C" w:rsidRPr="00250DBF" w:rsidRDefault="005B2C5C" w:rsidP="007F2366">
      <w:pPr>
        <w:pStyle w:val="ListParagraph"/>
        <w:numPr>
          <w:ilvl w:val="0"/>
          <w:numId w:val="7"/>
        </w:numPr>
        <w:jc w:val="both"/>
        <w:rPr>
          <w:sz w:val="24"/>
          <w:szCs w:val="24"/>
        </w:rPr>
      </w:pPr>
      <w:r w:rsidRPr="00250DBF">
        <w:rPr>
          <w:sz w:val="24"/>
          <w:szCs w:val="24"/>
        </w:rPr>
        <w:t>The availability of an abundant supply of high-quality housing to rent or purchase at affordable prices is a necessary condition for labour mobility within a country and between countries. For Ireland, inward migration is an essential part of the economic model, and housing can act as a major impediment to such labour flows.</w:t>
      </w:r>
    </w:p>
    <w:p w14:paraId="620DCBE5" w14:textId="4D57F3A1" w:rsidR="00F6104E" w:rsidRDefault="005B2C5C" w:rsidP="007F2366">
      <w:pPr>
        <w:jc w:val="both"/>
        <w:rPr>
          <w:sz w:val="24"/>
          <w:szCs w:val="24"/>
        </w:rPr>
      </w:pPr>
      <w:r>
        <w:rPr>
          <w:sz w:val="24"/>
          <w:szCs w:val="24"/>
        </w:rPr>
        <w:t xml:space="preserve">The Irish rental market is currently not functioning in an effective and efficient manner. </w:t>
      </w:r>
      <w:r w:rsidR="00F6104E">
        <w:rPr>
          <w:sz w:val="24"/>
          <w:szCs w:val="24"/>
        </w:rPr>
        <w:t xml:space="preserve">It is clear that Rent Pressure Zones (RPZs) are undermining the market and are not effective in achieving what they are intended to achieve. </w:t>
      </w:r>
    </w:p>
    <w:p w14:paraId="0049D84E" w14:textId="17622746" w:rsidR="005B2C5C" w:rsidRPr="005B2C5C" w:rsidRDefault="005B2C5C" w:rsidP="007F2366">
      <w:pPr>
        <w:jc w:val="both"/>
        <w:rPr>
          <w:sz w:val="24"/>
          <w:szCs w:val="24"/>
        </w:rPr>
      </w:pPr>
      <w:r w:rsidRPr="005B2C5C">
        <w:rPr>
          <w:sz w:val="24"/>
          <w:szCs w:val="24"/>
        </w:rPr>
        <w:t xml:space="preserve">RPZs were </w:t>
      </w:r>
      <w:r w:rsidR="00F6104E">
        <w:rPr>
          <w:sz w:val="24"/>
          <w:szCs w:val="24"/>
        </w:rPr>
        <w:t>introduced</w:t>
      </w:r>
      <w:r w:rsidRPr="005B2C5C">
        <w:rPr>
          <w:sz w:val="24"/>
          <w:szCs w:val="24"/>
        </w:rPr>
        <w:t xml:space="preserve"> in 2016. Inside of </w:t>
      </w:r>
      <w:r w:rsidR="00F6104E">
        <w:rPr>
          <w:sz w:val="24"/>
          <w:szCs w:val="24"/>
        </w:rPr>
        <w:t xml:space="preserve">an </w:t>
      </w:r>
      <w:r w:rsidRPr="005B2C5C">
        <w:rPr>
          <w:sz w:val="24"/>
          <w:szCs w:val="24"/>
        </w:rPr>
        <w:t>RPZ</w:t>
      </w:r>
      <w:r w:rsidR="00F6104E">
        <w:rPr>
          <w:sz w:val="24"/>
          <w:szCs w:val="24"/>
        </w:rPr>
        <w:t xml:space="preserve">, </w:t>
      </w:r>
      <w:r w:rsidRPr="005B2C5C">
        <w:rPr>
          <w:sz w:val="24"/>
          <w:szCs w:val="24"/>
        </w:rPr>
        <w:t>properties are rented at the current rent they were charging prior to</w:t>
      </w:r>
      <w:r w:rsidR="00F6104E">
        <w:rPr>
          <w:sz w:val="24"/>
          <w:szCs w:val="24"/>
        </w:rPr>
        <w:t xml:space="preserve"> its</w:t>
      </w:r>
      <w:r w:rsidRPr="005B2C5C">
        <w:rPr>
          <w:sz w:val="24"/>
          <w:szCs w:val="24"/>
        </w:rPr>
        <w:t xml:space="preserve"> introductio</w:t>
      </w:r>
      <w:r w:rsidR="00F6104E">
        <w:rPr>
          <w:sz w:val="24"/>
          <w:szCs w:val="24"/>
        </w:rPr>
        <w:t>n. H</w:t>
      </w:r>
      <w:r w:rsidRPr="005B2C5C">
        <w:rPr>
          <w:sz w:val="24"/>
          <w:szCs w:val="24"/>
        </w:rPr>
        <w:t>ence some properties are rented at market rent</w:t>
      </w:r>
      <w:r w:rsidR="00F6104E">
        <w:rPr>
          <w:sz w:val="24"/>
          <w:szCs w:val="24"/>
        </w:rPr>
        <w:t>s</w:t>
      </w:r>
      <w:r w:rsidRPr="005B2C5C">
        <w:rPr>
          <w:sz w:val="24"/>
          <w:szCs w:val="24"/>
        </w:rPr>
        <w:t xml:space="preserve"> and some are rented well below market rent</w:t>
      </w:r>
      <w:r w:rsidR="00F6104E">
        <w:rPr>
          <w:sz w:val="24"/>
          <w:szCs w:val="24"/>
        </w:rPr>
        <w:t xml:space="preserve"> -</w:t>
      </w:r>
      <w:r w:rsidRPr="005B2C5C">
        <w:rPr>
          <w:sz w:val="24"/>
          <w:szCs w:val="24"/>
        </w:rPr>
        <w:t xml:space="preserve"> up to 70</w:t>
      </w:r>
      <w:r w:rsidR="00F6104E">
        <w:rPr>
          <w:sz w:val="24"/>
          <w:szCs w:val="24"/>
        </w:rPr>
        <w:t xml:space="preserve"> per cent </w:t>
      </w:r>
      <w:r w:rsidRPr="005B2C5C">
        <w:rPr>
          <w:sz w:val="24"/>
          <w:szCs w:val="24"/>
        </w:rPr>
        <w:t>in some cases as the report and survey will show. Landlords are allowed</w:t>
      </w:r>
      <w:r w:rsidR="00720098">
        <w:rPr>
          <w:sz w:val="24"/>
          <w:szCs w:val="24"/>
        </w:rPr>
        <w:t xml:space="preserve"> to</w:t>
      </w:r>
      <w:r w:rsidRPr="005B2C5C">
        <w:rPr>
          <w:sz w:val="24"/>
          <w:szCs w:val="24"/>
        </w:rPr>
        <w:t xml:space="preserve"> increase rent per year </w:t>
      </w:r>
      <w:r w:rsidR="00720098">
        <w:rPr>
          <w:sz w:val="24"/>
          <w:szCs w:val="24"/>
        </w:rPr>
        <w:t>by a</w:t>
      </w:r>
      <w:r w:rsidRPr="005B2C5C">
        <w:rPr>
          <w:sz w:val="24"/>
          <w:szCs w:val="24"/>
        </w:rPr>
        <w:t xml:space="preserve"> maximum of 2</w:t>
      </w:r>
      <w:r w:rsidR="00F6104E">
        <w:rPr>
          <w:sz w:val="24"/>
          <w:szCs w:val="24"/>
        </w:rPr>
        <w:t xml:space="preserve"> per cent</w:t>
      </w:r>
      <w:r w:rsidRPr="005B2C5C">
        <w:rPr>
          <w:sz w:val="24"/>
          <w:szCs w:val="24"/>
        </w:rPr>
        <w:t xml:space="preserve"> or inflation</w:t>
      </w:r>
      <w:r w:rsidR="00F6104E">
        <w:rPr>
          <w:sz w:val="24"/>
          <w:szCs w:val="24"/>
        </w:rPr>
        <w:t xml:space="preserve">, </w:t>
      </w:r>
      <w:r w:rsidRPr="005B2C5C">
        <w:rPr>
          <w:sz w:val="24"/>
          <w:szCs w:val="24"/>
        </w:rPr>
        <w:t xml:space="preserve">whichever is the lowest. New properties that come into the RPZ and properties that are not rented for the previous 2 years are allowed to be rented at whatever rent the </w:t>
      </w:r>
      <w:r w:rsidRPr="005B2C5C">
        <w:rPr>
          <w:sz w:val="24"/>
          <w:szCs w:val="24"/>
        </w:rPr>
        <w:lastRenderedPageBreak/>
        <w:t xml:space="preserve">market will pay on the first time they are rented. Outside of these RPZs landlords can amend rent every 2 years. </w:t>
      </w:r>
    </w:p>
    <w:p w14:paraId="2BFBD25F" w14:textId="6A50D350" w:rsidR="005B2C5C" w:rsidRPr="005B2C5C" w:rsidRDefault="005B2C5C" w:rsidP="007F2366">
      <w:pPr>
        <w:jc w:val="both"/>
        <w:rPr>
          <w:sz w:val="24"/>
          <w:szCs w:val="24"/>
        </w:rPr>
      </w:pPr>
      <w:r w:rsidRPr="005B2C5C">
        <w:rPr>
          <w:sz w:val="24"/>
          <w:szCs w:val="24"/>
        </w:rPr>
        <w:t xml:space="preserve">The idea of new properties charging whatever rent the market will take was to encourage extra properties </w:t>
      </w:r>
      <w:r w:rsidR="00720098" w:rsidRPr="005B2C5C">
        <w:rPr>
          <w:sz w:val="24"/>
          <w:szCs w:val="24"/>
        </w:rPr>
        <w:t>in</w:t>
      </w:r>
      <w:r w:rsidR="00720098">
        <w:rPr>
          <w:sz w:val="24"/>
          <w:szCs w:val="24"/>
        </w:rPr>
        <w:t>to</w:t>
      </w:r>
      <w:r w:rsidRPr="005B2C5C">
        <w:rPr>
          <w:sz w:val="24"/>
          <w:szCs w:val="24"/>
        </w:rPr>
        <w:t xml:space="preserve"> the market to help </w:t>
      </w:r>
      <w:r w:rsidR="00F6104E">
        <w:rPr>
          <w:sz w:val="24"/>
          <w:szCs w:val="24"/>
        </w:rPr>
        <w:t xml:space="preserve">increase </w:t>
      </w:r>
      <w:r w:rsidRPr="005B2C5C">
        <w:rPr>
          <w:sz w:val="24"/>
          <w:szCs w:val="24"/>
        </w:rPr>
        <w:t>supply</w:t>
      </w:r>
      <w:r w:rsidR="00F6104E">
        <w:rPr>
          <w:sz w:val="24"/>
          <w:szCs w:val="24"/>
        </w:rPr>
        <w:t xml:space="preserve">. In theory, this could be a good idea, but in practice it has not worked. </w:t>
      </w:r>
      <w:r w:rsidRPr="005B2C5C">
        <w:rPr>
          <w:sz w:val="24"/>
          <w:szCs w:val="24"/>
        </w:rPr>
        <w:t xml:space="preserve">It is </w:t>
      </w:r>
      <w:r w:rsidR="00715863">
        <w:rPr>
          <w:sz w:val="24"/>
          <w:szCs w:val="24"/>
        </w:rPr>
        <w:t xml:space="preserve">apparent </w:t>
      </w:r>
      <w:r w:rsidRPr="005B2C5C">
        <w:rPr>
          <w:sz w:val="24"/>
          <w:szCs w:val="24"/>
        </w:rPr>
        <w:t xml:space="preserve">from </w:t>
      </w:r>
      <w:r w:rsidR="00715863">
        <w:rPr>
          <w:sz w:val="24"/>
          <w:szCs w:val="24"/>
        </w:rPr>
        <w:t>Residential Tenancies Board (</w:t>
      </w:r>
      <w:r w:rsidRPr="005B2C5C">
        <w:rPr>
          <w:sz w:val="24"/>
          <w:szCs w:val="24"/>
        </w:rPr>
        <w:t>RTB</w:t>
      </w:r>
      <w:r w:rsidR="00715863">
        <w:rPr>
          <w:sz w:val="24"/>
          <w:szCs w:val="24"/>
        </w:rPr>
        <w:t>) data</w:t>
      </w:r>
      <w:r w:rsidRPr="005B2C5C">
        <w:rPr>
          <w:sz w:val="24"/>
          <w:szCs w:val="24"/>
        </w:rPr>
        <w:t xml:space="preserve"> on the number of current leases and landlords</w:t>
      </w:r>
      <w:r w:rsidR="00715863">
        <w:rPr>
          <w:sz w:val="24"/>
          <w:szCs w:val="24"/>
        </w:rPr>
        <w:t xml:space="preserve"> that</w:t>
      </w:r>
      <w:r w:rsidRPr="005B2C5C">
        <w:rPr>
          <w:sz w:val="24"/>
          <w:szCs w:val="24"/>
        </w:rPr>
        <w:t xml:space="preserve"> this has not happened. Many landlords are leaving the market especially at the lower rental end and these landlords are being replaced by landlords bringing a stock of new properties into the market at the higher rental end of the market as they are allowed to charge higher rents. The real losers are tenants at the lower end of the market</w:t>
      </w:r>
    </w:p>
    <w:p w14:paraId="76C25C87" w14:textId="70930B1C" w:rsidR="005B2C5C" w:rsidRPr="005B2C5C" w:rsidRDefault="005B2C5C" w:rsidP="007F2366">
      <w:pPr>
        <w:jc w:val="both"/>
        <w:rPr>
          <w:sz w:val="24"/>
          <w:szCs w:val="24"/>
        </w:rPr>
      </w:pPr>
      <w:r w:rsidRPr="005B2C5C">
        <w:rPr>
          <w:sz w:val="24"/>
          <w:szCs w:val="24"/>
        </w:rPr>
        <w:t xml:space="preserve">It is very difficult to see if any extra properties have been added to the </w:t>
      </w:r>
      <w:r w:rsidR="00715863">
        <w:rPr>
          <w:sz w:val="24"/>
          <w:szCs w:val="24"/>
        </w:rPr>
        <w:t>market</w:t>
      </w:r>
      <w:r w:rsidRPr="005B2C5C">
        <w:rPr>
          <w:sz w:val="24"/>
          <w:szCs w:val="24"/>
        </w:rPr>
        <w:t>. If the RTB figures were up to date</w:t>
      </w:r>
      <w:r w:rsidR="00715863">
        <w:rPr>
          <w:sz w:val="24"/>
          <w:szCs w:val="24"/>
        </w:rPr>
        <w:t>,</w:t>
      </w:r>
      <w:r w:rsidRPr="005B2C5C">
        <w:rPr>
          <w:sz w:val="24"/>
          <w:szCs w:val="24"/>
        </w:rPr>
        <w:t xml:space="preserve"> which they are not, and </w:t>
      </w:r>
      <w:r w:rsidR="00715863">
        <w:rPr>
          <w:sz w:val="24"/>
          <w:szCs w:val="24"/>
        </w:rPr>
        <w:t xml:space="preserve">if </w:t>
      </w:r>
      <w:r w:rsidRPr="005B2C5C">
        <w:rPr>
          <w:sz w:val="24"/>
          <w:szCs w:val="24"/>
        </w:rPr>
        <w:t xml:space="preserve">all leases cancelled on all properties sold by </w:t>
      </w:r>
      <w:r w:rsidR="00715863">
        <w:rPr>
          <w:sz w:val="24"/>
          <w:szCs w:val="24"/>
        </w:rPr>
        <w:t>l</w:t>
      </w:r>
      <w:r w:rsidRPr="005B2C5C">
        <w:rPr>
          <w:sz w:val="24"/>
          <w:szCs w:val="24"/>
        </w:rPr>
        <w:t xml:space="preserve">andlords as they are supposed to be, the actual </w:t>
      </w:r>
      <w:r w:rsidR="00715863">
        <w:rPr>
          <w:sz w:val="24"/>
          <w:szCs w:val="24"/>
        </w:rPr>
        <w:t xml:space="preserve">number </w:t>
      </w:r>
      <w:r w:rsidRPr="005B2C5C">
        <w:rPr>
          <w:sz w:val="24"/>
          <w:szCs w:val="24"/>
        </w:rPr>
        <w:t xml:space="preserve">of </w:t>
      </w:r>
      <w:r w:rsidR="00715863">
        <w:rPr>
          <w:sz w:val="24"/>
          <w:szCs w:val="24"/>
        </w:rPr>
        <w:t>t</w:t>
      </w:r>
      <w:r w:rsidRPr="005B2C5C">
        <w:rPr>
          <w:sz w:val="24"/>
          <w:szCs w:val="24"/>
        </w:rPr>
        <w:t xml:space="preserve">enancies and </w:t>
      </w:r>
      <w:r w:rsidR="00715863">
        <w:rPr>
          <w:sz w:val="24"/>
          <w:szCs w:val="24"/>
        </w:rPr>
        <w:t>l</w:t>
      </w:r>
      <w:r w:rsidRPr="005B2C5C">
        <w:rPr>
          <w:sz w:val="24"/>
          <w:szCs w:val="24"/>
        </w:rPr>
        <w:t>andlords would be</w:t>
      </w:r>
      <w:r w:rsidR="00715863">
        <w:rPr>
          <w:sz w:val="24"/>
          <w:szCs w:val="24"/>
        </w:rPr>
        <w:t xml:space="preserve"> considerably</w:t>
      </w:r>
      <w:r w:rsidRPr="005B2C5C">
        <w:rPr>
          <w:sz w:val="24"/>
          <w:szCs w:val="24"/>
        </w:rPr>
        <w:t xml:space="preserve"> lower. </w:t>
      </w:r>
    </w:p>
    <w:p w14:paraId="1964A35A" w14:textId="20B2668F" w:rsidR="005B2C5C" w:rsidRPr="005B2C5C" w:rsidRDefault="005B2C5C" w:rsidP="007F2366">
      <w:pPr>
        <w:jc w:val="both"/>
        <w:rPr>
          <w:sz w:val="24"/>
          <w:szCs w:val="24"/>
        </w:rPr>
      </w:pPr>
      <w:r w:rsidRPr="005B2C5C">
        <w:rPr>
          <w:sz w:val="24"/>
          <w:szCs w:val="24"/>
        </w:rPr>
        <w:t xml:space="preserve">The term </w:t>
      </w:r>
      <w:r w:rsidR="00715863">
        <w:rPr>
          <w:sz w:val="24"/>
          <w:szCs w:val="24"/>
        </w:rPr>
        <w:t>‘</w:t>
      </w:r>
      <w:r w:rsidRPr="005B2C5C">
        <w:rPr>
          <w:sz w:val="24"/>
          <w:szCs w:val="24"/>
        </w:rPr>
        <w:t xml:space="preserve">accidental </w:t>
      </w:r>
      <w:r w:rsidR="00715863">
        <w:rPr>
          <w:sz w:val="24"/>
          <w:szCs w:val="24"/>
        </w:rPr>
        <w:t>l</w:t>
      </w:r>
      <w:r w:rsidRPr="005B2C5C">
        <w:rPr>
          <w:sz w:val="24"/>
          <w:szCs w:val="24"/>
        </w:rPr>
        <w:t>andlord</w:t>
      </w:r>
      <w:r w:rsidR="00715863">
        <w:rPr>
          <w:sz w:val="24"/>
          <w:szCs w:val="24"/>
        </w:rPr>
        <w:t>’</w:t>
      </w:r>
      <w:r w:rsidRPr="005B2C5C">
        <w:rPr>
          <w:sz w:val="24"/>
          <w:szCs w:val="24"/>
        </w:rPr>
        <w:t xml:space="preserve"> has been </w:t>
      </w:r>
      <w:r w:rsidR="00640767">
        <w:rPr>
          <w:sz w:val="24"/>
          <w:szCs w:val="24"/>
        </w:rPr>
        <w:t>ascribed</w:t>
      </w:r>
      <w:r w:rsidRPr="005B2C5C">
        <w:rPr>
          <w:sz w:val="24"/>
          <w:szCs w:val="24"/>
        </w:rPr>
        <w:t xml:space="preserve"> to smaller landlord</w:t>
      </w:r>
      <w:r w:rsidR="00715863">
        <w:rPr>
          <w:sz w:val="24"/>
          <w:szCs w:val="24"/>
        </w:rPr>
        <w:t>s</w:t>
      </w:r>
      <w:r w:rsidRPr="005B2C5C">
        <w:rPr>
          <w:sz w:val="24"/>
          <w:szCs w:val="24"/>
        </w:rPr>
        <w:t xml:space="preserve"> in general</w:t>
      </w:r>
      <w:r w:rsidR="00A83592">
        <w:rPr>
          <w:sz w:val="24"/>
          <w:szCs w:val="24"/>
        </w:rPr>
        <w:t>. However, if</w:t>
      </w:r>
      <w:r w:rsidRPr="005B2C5C">
        <w:rPr>
          <w:sz w:val="24"/>
          <w:szCs w:val="24"/>
        </w:rPr>
        <w:t xml:space="preserve"> a landlord decides to invest in a </w:t>
      </w:r>
      <w:r w:rsidR="00A83592">
        <w:rPr>
          <w:sz w:val="24"/>
          <w:szCs w:val="24"/>
        </w:rPr>
        <w:t xml:space="preserve">single </w:t>
      </w:r>
      <w:r w:rsidRPr="005B2C5C">
        <w:rPr>
          <w:sz w:val="24"/>
          <w:szCs w:val="24"/>
        </w:rPr>
        <w:t xml:space="preserve">property, </w:t>
      </w:r>
      <w:r w:rsidR="00A83592">
        <w:rPr>
          <w:sz w:val="24"/>
          <w:szCs w:val="24"/>
        </w:rPr>
        <w:t xml:space="preserve">that person </w:t>
      </w:r>
      <w:r w:rsidRPr="005B2C5C">
        <w:rPr>
          <w:sz w:val="24"/>
          <w:szCs w:val="24"/>
        </w:rPr>
        <w:t xml:space="preserve">is a landlord </w:t>
      </w:r>
      <w:r w:rsidR="00A83592">
        <w:rPr>
          <w:sz w:val="24"/>
          <w:szCs w:val="24"/>
        </w:rPr>
        <w:t>and there is nothing</w:t>
      </w:r>
      <w:r w:rsidRPr="005B2C5C">
        <w:rPr>
          <w:sz w:val="24"/>
          <w:szCs w:val="24"/>
        </w:rPr>
        <w:t xml:space="preserve"> accidental about it. The consensus seems to be </w:t>
      </w:r>
      <w:r w:rsidR="00A83592">
        <w:rPr>
          <w:sz w:val="24"/>
          <w:szCs w:val="24"/>
        </w:rPr>
        <w:t>that if</w:t>
      </w:r>
      <w:r w:rsidRPr="005B2C5C">
        <w:rPr>
          <w:sz w:val="24"/>
          <w:szCs w:val="24"/>
        </w:rPr>
        <w:t xml:space="preserve"> landlords may have </w:t>
      </w:r>
      <w:r w:rsidR="00A83592">
        <w:rPr>
          <w:sz w:val="24"/>
          <w:szCs w:val="24"/>
        </w:rPr>
        <w:t>multiple p</w:t>
      </w:r>
      <w:r w:rsidRPr="005B2C5C">
        <w:rPr>
          <w:sz w:val="24"/>
          <w:szCs w:val="24"/>
        </w:rPr>
        <w:t xml:space="preserve">roperties, they are </w:t>
      </w:r>
      <w:r w:rsidR="00A83592">
        <w:rPr>
          <w:sz w:val="24"/>
          <w:szCs w:val="24"/>
        </w:rPr>
        <w:t xml:space="preserve">described </w:t>
      </w:r>
      <w:r w:rsidRPr="005B2C5C">
        <w:rPr>
          <w:sz w:val="24"/>
          <w:szCs w:val="24"/>
        </w:rPr>
        <w:t>as professional landlords</w:t>
      </w:r>
      <w:r w:rsidR="00A83592">
        <w:rPr>
          <w:sz w:val="24"/>
          <w:szCs w:val="24"/>
        </w:rPr>
        <w:t>, but the landlord with one property</w:t>
      </w:r>
      <w:r w:rsidRPr="005B2C5C">
        <w:rPr>
          <w:sz w:val="24"/>
          <w:szCs w:val="24"/>
        </w:rPr>
        <w:t xml:space="preserve"> is no less professional than</w:t>
      </w:r>
      <w:r w:rsidR="00A83592">
        <w:rPr>
          <w:sz w:val="24"/>
          <w:szCs w:val="24"/>
        </w:rPr>
        <w:t xml:space="preserve"> a</w:t>
      </w:r>
      <w:r w:rsidRPr="005B2C5C">
        <w:rPr>
          <w:sz w:val="24"/>
          <w:szCs w:val="24"/>
        </w:rPr>
        <w:t xml:space="preserve"> larger one. </w:t>
      </w:r>
      <w:r w:rsidR="00A83592">
        <w:rPr>
          <w:sz w:val="24"/>
          <w:szCs w:val="24"/>
        </w:rPr>
        <w:t xml:space="preserve">It is important to acknowledge this point and to afford small landlords the same treatment and respect as larger ones. </w:t>
      </w:r>
    </w:p>
    <w:p w14:paraId="72DB69BA" w14:textId="7AB5D75E" w:rsidR="002F4DBE" w:rsidRDefault="00A83592" w:rsidP="007F2366">
      <w:pPr>
        <w:jc w:val="both"/>
        <w:rPr>
          <w:sz w:val="24"/>
          <w:szCs w:val="24"/>
        </w:rPr>
      </w:pPr>
      <w:r>
        <w:rPr>
          <w:sz w:val="24"/>
          <w:szCs w:val="24"/>
        </w:rPr>
        <w:t>L</w:t>
      </w:r>
      <w:r w:rsidR="005B2C5C" w:rsidRPr="005B2C5C">
        <w:rPr>
          <w:sz w:val="24"/>
          <w:szCs w:val="24"/>
        </w:rPr>
        <w:t>andlords selling</w:t>
      </w:r>
      <w:r>
        <w:rPr>
          <w:sz w:val="24"/>
          <w:szCs w:val="24"/>
        </w:rPr>
        <w:t xml:space="preserve"> are exiting the market for many reasons, </w:t>
      </w:r>
      <w:r w:rsidR="002F4DBE">
        <w:rPr>
          <w:sz w:val="24"/>
          <w:szCs w:val="24"/>
        </w:rPr>
        <w:t xml:space="preserve">but the primary cause is that they are </w:t>
      </w:r>
      <w:r w:rsidR="005B2C5C" w:rsidRPr="005B2C5C">
        <w:rPr>
          <w:sz w:val="24"/>
          <w:szCs w:val="24"/>
        </w:rPr>
        <w:t>not allowed to charge market rent for their properties</w:t>
      </w:r>
      <w:r w:rsidR="002F4DBE">
        <w:rPr>
          <w:sz w:val="24"/>
          <w:szCs w:val="24"/>
        </w:rPr>
        <w:t>. A consequence is that</w:t>
      </w:r>
      <w:r w:rsidR="005B2C5C" w:rsidRPr="005B2C5C">
        <w:rPr>
          <w:sz w:val="24"/>
          <w:szCs w:val="24"/>
        </w:rPr>
        <w:t xml:space="preserve"> tenants that are renting properties way below market rent </w:t>
      </w:r>
      <w:r w:rsidR="00720098" w:rsidRPr="005B2C5C">
        <w:rPr>
          <w:sz w:val="24"/>
          <w:szCs w:val="24"/>
        </w:rPr>
        <w:t>are being</w:t>
      </w:r>
      <w:r w:rsidR="005B2C5C" w:rsidRPr="005B2C5C">
        <w:rPr>
          <w:sz w:val="24"/>
          <w:szCs w:val="24"/>
        </w:rPr>
        <w:t xml:space="preserve"> evicted from their home,</w:t>
      </w:r>
      <w:r w:rsidR="002F4DBE">
        <w:rPr>
          <w:sz w:val="24"/>
          <w:szCs w:val="24"/>
        </w:rPr>
        <w:t xml:space="preserve"> and</w:t>
      </w:r>
      <w:r w:rsidR="005B2C5C" w:rsidRPr="005B2C5C">
        <w:rPr>
          <w:sz w:val="24"/>
          <w:szCs w:val="24"/>
        </w:rPr>
        <w:t xml:space="preserve"> the landlord has to find an owner</w:t>
      </w:r>
      <w:r w:rsidR="002F4DBE">
        <w:rPr>
          <w:sz w:val="24"/>
          <w:szCs w:val="24"/>
        </w:rPr>
        <w:t>-</w:t>
      </w:r>
      <w:r w:rsidR="005B2C5C" w:rsidRPr="005B2C5C">
        <w:rPr>
          <w:sz w:val="24"/>
          <w:szCs w:val="24"/>
        </w:rPr>
        <w:t>occupier to purchase the property as the current rental yield will not convince an individual investor to purchase it</w:t>
      </w:r>
      <w:r w:rsidR="002F4DBE">
        <w:rPr>
          <w:sz w:val="24"/>
          <w:szCs w:val="24"/>
        </w:rPr>
        <w:t xml:space="preserve">. </w:t>
      </w:r>
    </w:p>
    <w:p w14:paraId="320BBDE5" w14:textId="07912D5F" w:rsidR="005B2C5C" w:rsidRPr="005B2C5C" w:rsidRDefault="002F4DBE" w:rsidP="007F2366">
      <w:pPr>
        <w:jc w:val="both"/>
        <w:rPr>
          <w:sz w:val="24"/>
          <w:szCs w:val="24"/>
        </w:rPr>
      </w:pPr>
      <w:r>
        <w:rPr>
          <w:sz w:val="24"/>
          <w:szCs w:val="24"/>
        </w:rPr>
        <w:t>It does not make sense</w:t>
      </w:r>
      <w:r w:rsidR="005B2C5C" w:rsidRPr="005B2C5C">
        <w:rPr>
          <w:sz w:val="24"/>
          <w:szCs w:val="24"/>
        </w:rPr>
        <w:t xml:space="preserve"> that a landlord must keep a property empty for 2 years before they can charge market rent if they wish to re-rent it. Again,</w:t>
      </w:r>
      <w:r>
        <w:rPr>
          <w:sz w:val="24"/>
          <w:szCs w:val="24"/>
        </w:rPr>
        <w:t xml:space="preserve"> official data </w:t>
      </w:r>
      <w:r w:rsidR="005B2C5C" w:rsidRPr="005B2C5C">
        <w:rPr>
          <w:sz w:val="24"/>
          <w:szCs w:val="24"/>
        </w:rPr>
        <w:t xml:space="preserve">for the number of </w:t>
      </w:r>
      <w:r>
        <w:rPr>
          <w:sz w:val="24"/>
          <w:szCs w:val="24"/>
        </w:rPr>
        <w:t>such</w:t>
      </w:r>
      <w:r w:rsidR="005B2C5C" w:rsidRPr="005B2C5C">
        <w:rPr>
          <w:sz w:val="24"/>
          <w:szCs w:val="24"/>
        </w:rPr>
        <w:t xml:space="preserve"> properties </w:t>
      </w:r>
      <w:r>
        <w:rPr>
          <w:sz w:val="24"/>
          <w:szCs w:val="24"/>
        </w:rPr>
        <w:t>are</w:t>
      </w:r>
      <w:r w:rsidR="005B2C5C" w:rsidRPr="005B2C5C">
        <w:rPr>
          <w:sz w:val="24"/>
          <w:szCs w:val="24"/>
        </w:rPr>
        <w:t xml:space="preserve"> not available so </w:t>
      </w:r>
      <w:r>
        <w:rPr>
          <w:sz w:val="24"/>
          <w:szCs w:val="24"/>
        </w:rPr>
        <w:t>policymakers do not understand</w:t>
      </w:r>
      <w:r w:rsidR="005B2C5C" w:rsidRPr="005B2C5C">
        <w:rPr>
          <w:sz w:val="24"/>
          <w:szCs w:val="24"/>
        </w:rPr>
        <w:t xml:space="preserve"> the </w:t>
      </w:r>
      <w:r>
        <w:rPr>
          <w:sz w:val="24"/>
          <w:szCs w:val="24"/>
        </w:rPr>
        <w:t xml:space="preserve">impact </w:t>
      </w:r>
      <w:r w:rsidR="005B2C5C" w:rsidRPr="005B2C5C">
        <w:rPr>
          <w:sz w:val="24"/>
          <w:szCs w:val="24"/>
        </w:rPr>
        <w:t xml:space="preserve">of not allowing a landlord to charge market rent. </w:t>
      </w:r>
    </w:p>
    <w:p w14:paraId="12966877" w14:textId="1C071F77" w:rsidR="002A315D" w:rsidRPr="00250DBF" w:rsidRDefault="007440BD" w:rsidP="007F2366">
      <w:pPr>
        <w:jc w:val="both"/>
        <w:rPr>
          <w:sz w:val="24"/>
          <w:szCs w:val="24"/>
        </w:rPr>
      </w:pPr>
      <w:r>
        <w:rPr>
          <w:sz w:val="24"/>
          <w:szCs w:val="24"/>
        </w:rPr>
        <w:t xml:space="preserve">A properly functioning </w:t>
      </w:r>
      <w:r w:rsidR="002A315D" w:rsidRPr="00250DBF">
        <w:rPr>
          <w:sz w:val="24"/>
          <w:szCs w:val="24"/>
        </w:rPr>
        <w:t xml:space="preserve">housing </w:t>
      </w:r>
      <w:r>
        <w:rPr>
          <w:sz w:val="24"/>
          <w:szCs w:val="24"/>
        </w:rPr>
        <w:t xml:space="preserve">market </w:t>
      </w:r>
      <w:r w:rsidR="002A315D" w:rsidRPr="00250DBF">
        <w:rPr>
          <w:sz w:val="24"/>
          <w:szCs w:val="24"/>
        </w:rPr>
        <w:t xml:space="preserve">is an essential </w:t>
      </w:r>
      <w:r>
        <w:rPr>
          <w:sz w:val="24"/>
          <w:szCs w:val="24"/>
        </w:rPr>
        <w:t>ingredient</w:t>
      </w:r>
      <w:r w:rsidR="002A315D" w:rsidRPr="00250DBF">
        <w:rPr>
          <w:sz w:val="24"/>
          <w:szCs w:val="24"/>
        </w:rPr>
        <w:t xml:space="preserve"> for economic success and social solidarity.</w:t>
      </w:r>
      <w:r>
        <w:rPr>
          <w:sz w:val="24"/>
          <w:szCs w:val="24"/>
        </w:rPr>
        <w:t xml:space="preserve"> Ireland does not have a properly functioning housing market at the moment. </w:t>
      </w:r>
    </w:p>
    <w:p w14:paraId="70959450" w14:textId="6091D99E" w:rsidR="002A315D" w:rsidRDefault="00042F84" w:rsidP="007F2366">
      <w:pPr>
        <w:jc w:val="both"/>
        <w:rPr>
          <w:sz w:val="24"/>
          <w:szCs w:val="24"/>
        </w:rPr>
      </w:pPr>
      <w:r>
        <w:rPr>
          <w:sz w:val="24"/>
          <w:szCs w:val="24"/>
        </w:rPr>
        <w:t>This report provides an up-t</w:t>
      </w:r>
      <w:r w:rsidR="0073239E">
        <w:rPr>
          <w:sz w:val="24"/>
          <w:szCs w:val="24"/>
        </w:rPr>
        <w:t>o</w:t>
      </w:r>
      <w:r>
        <w:rPr>
          <w:sz w:val="24"/>
          <w:szCs w:val="24"/>
        </w:rPr>
        <w:t xml:space="preserve">-date analysis of where the Irish housing market is positioned at the moment and the challenges ahead, with a particular emphasis on the private rental market. </w:t>
      </w:r>
    </w:p>
    <w:p w14:paraId="45EA06EF" w14:textId="0B35B583" w:rsidR="00042F84" w:rsidRPr="00900847" w:rsidRDefault="00042F84" w:rsidP="007F2366">
      <w:pPr>
        <w:pStyle w:val="ListParagraph"/>
        <w:numPr>
          <w:ilvl w:val="0"/>
          <w:numId w:val="38"/>
        </w:numPr>
        <w:jc w:val="both"/>
        <w:rPr>
          <w:sz w:val="24"/>
          <w:szCs w:val="24"/>
        </w:rPr>
      </w:pPr>
      <w:r w:rsidRPr="00900847">
        <w:rPr>
          <w:sz w:val="24"/>
          <w:szCs w:val="24"/>
        </w:rPr>
        <w:t>Section 1 looks at the current situation relating to house prices and the mortgage market.</w:t>
      </w:r>
    </w:p>
    <w:p w14:paraId="7351E56A" w14:textId="6823185E" w:rsidR="00247A38" w:rsidRPr="00900847" w:rsidRDefault="00247A38" w:rsidP="007F2366">
      <w:pPr>
        <w:pStyle w:val="ListParagraph"/>
        <w:numPr>
          <w:ilvl w:val="0"/>
          <w:numId w:val="38"/>
        </w:numPr>
        <w:jc w:val="both"/>
        <w:rPr>
          <w:sz w:val="24"/>
          <w:szCs w:val="24"/>
        </w:rPr>
      </w:pPr>
      <w:r w:rsidRPr="00900847">
        <w:rPr>
          <w:sz w:val="24"/>
          <w:szCs w:val="24"/>
        </w:rPr>
        <w:t>Section 2 looks at the supply side of the housing market.</w:t>
      </w:r>
    </w:p>
    <w:p w14:paraId="3B0AC68F" w14:textId="55D8C7E9" w:rsidR="00042F84" w:rsidRPr="00900847" w:rsidRDefault="00042F84" w:rsidP="007F2366">
      <w:pPr>
        <w:pStyle w:val="ListParagraph"/>
        <w:numPr>
          <w:ilvl w:val="0"/>
          <w:numId w:val="38"/>
        </w:numPr>
        <w:jc w:val="both"/>
        <w:rPr>
          <w:sz w:val="24"/>
          <w:szCs w:val="24"/>
        </w:rPr>
      </w:pPr>
      <w:r w:rsidRPr="00900847">
        <w:rPr>
          <w:sz w:val="24"/>
          <w:szCs w:val="24"/>
        </w:rPr>
        <w:t xml:space="preserve">Section </w:t>
      </w:r>
      <w:r w:rsidR="00247A38" w:rsidRPr="00900847">
        <w:rPr>
          <w:sz w:val="24"/>
          <w:szCs w:val="24"/>
        </w:rPr>
        <w:t>3</w:t>
      </w:r>
      <w:r w:rsidRPr="00900847">
        <w:rPr>
          <w:sz w:val="24"/>
          <w:szCs w:val="24"/>
        </w:rPr>
        <w:t xml:space="preserve"> examines in some detail current trends in the private rental market. This analysis includes trends in rental levels and the availability of rental properties.</w:t>
      </w:r>
    </w:p>
    <w:p w14:paraId="787A0DD5" w14:textId="66C7B6C0" w:rsidR="00A155A7" w:rsidRPr="00900847" w:rsidRDefault="00A155A7" w:rsidP="007F2366">
      <w:pPr>
        <w:pStyle w:val="ListParagraph"/>
        <w:numPr>
          <w:ilvl w:val="0"/>
          <w:numId w:val="38"/>
        </w:numPr>
        <w:jc w:val="both"/>
        <w:rPr>
          <w:sz w:val="24"/>
          <w:szCs w:val="24"/>
        </w:rPr>
      </w:pPr>
      <w:r w:rsidRPr="00900847">
        <w:rPr>
          <w:sz w:val="24"/>
          <w:szCs w:val="24"/>
        </w:rPr>
        <w:lastRenderedPageBreak/>
        <w:t>Section 4 examines the structure of the rental market.</w:t>
      </w:r>
    </w:p>
    <w:p w14:paraId="16BACDC7" w14:textId="281E0725" w:rsidR="00A155A7" w:rsidRPr="00900847" w:rsidRDefault="00A155A7" w:rsidP="007F2366">
      <w:pPr>
        <w:pStyle w:val="ListParagraph"/>
        <w:numPr>
          <w:ilvl w:val="0"/>
          <w:numId w:val="38"/>
        </w:numPr>
        <w:jc w:val="both"/>
        <w:rPr>
          <w:sz w:val="24"/>
          <w:szCs w:val="24"/>
        </w:rPr>
      </w:pPr>
      <w:r w:rsidRPr="00900847">
        <w:rPr>
          <w:sz w:val="24"/>
          <w:szCs w:val="24"/>
        </w:rPr>
        <w:t>Section 5 examines relevant market research to highlight the key issues, trends and challenges facing the rental market.</w:t>
      </w:r>
    </w:p>
    <w:p w14:paraId="484B3825" w14:textId="3F008457" w:rsidR="00042F84" w:rsidRPr="00900847" w:rsidRDefault="00042F84" w:rsidP="007F2366">
      <w:pPr>
        <w:pStyle w:val="ListParagraph"/>
        <w:numPr>
          <w:ilvl w:val="0"/>
          <w:numId w:val="38"/>
        </w:numPr>
        <w:jc w:val="both"/>
        <w:rPr>
          <w:sz w:val="24"/>
          <w:szCs w:val="24"/>
        </w:rPr>
      </w:pPr>
      <w:r w:rsidRPr="00900847">
        <w:rPr>
          <w:sz w:val="24"/>
          <w:szCs w:val="24"/>
        </w:rPr>
        <w:t xml:space="preserve">Section </w:t>
      </w:r>
      <w:r w:rsidR="00A155A7" w:rsidRPr="00900847">
        <w:rPr>
          <w:sz w:val="24"/>
          <w:szCs w:val="24"/>
        </w:rPr>
        <w:t>6</w:t>
      </w:r>
      <w:r w:rsidRPr="00900847">
        <w:rPr>
          <w:sz w:val="24"/>
          <w:szCs w:val="24"/>
        </w:rPr>
        <w:t xml:space="preserve"> outlines the realities facing private landlords in the current market</w:t>
      </w:r>
      <w:r w:rsidR="00A16FF9" w:rsidRPr="00900847">
        <w:rPr>
          <w:sz w:val="24"/>
          <w:szCs w:val="24"/>
        </w:rPr>
        <w:t xml:space="preserve">. </w:t>
      </w:r>
    </w:p>
    <w:p w14:paraId="11E1DE57" w14:textId="69BD07D8" w:rsidR="00A155A7" w:rsidRDefault="00A155A7" w:rsidP="007F2366">
      <w:pPr>
        <w:jc w:val="both"/>
        <w:rPr>
          <w:sz w:val="24"/>
          <w:szCs w:val="24"/>
        </w:rPr>
      </w:pPr>
      <w:r>
        <w:rPr>
          <w:sz w:val="24"/>
          <w:szCs w:val="24"/>
        </w:rPr>
        <w:t>The overall aim of the report is to highlight the crisis in the Irish owner-occupier and rental markets</w:t>
      </w:r>
      <w:r w:rsidR="00FB39F0">
        <w:rPr>
          <w:sz w:val="24"/>
          <w:szCs w:val="24"/>
        </w:rPr>
        <w:t>, the various anomalies that exist in the market,</w:t>
      </w:r>
      <w:r>
        <w:rPr>
          <w:sz w:val="24"/>
          <w:szCs w:val="24"/>
        </w:rPr>
        <w:t xml:space="preserve"> and particularly to highlight the pressures on private landlords. </w:t>
      </w:r>
    </w:p>
    <w:p w14:paraId="6B86771B" w14:textId="41880A10" w:rsidR="00A16FF9" w:rsidRDefault="00A16FF9" w:rsidP="007F2366">
      <w:pPr>
        <w:jc w:val="both"/>
        <w:rPr>
          <w:sz w:val="24"/>
          <w:szCs w:val="24"/>
        </w:rPr>
      </w:pPr>
      <w:r>
        <w:rPr>
          <w:sz w:val="24"/>
          <w:szCs w:val="24"/>
        </w:rPr>
        <w:br w:type="page"/>
      </w:r>
    </w:p>
    <w:p w14:paraId="14D5F9F8" w14:textId="48A8FF45" w:rsidR="00E413E9" w:rsidRPr="00E413E9" w:rsidRDefault="00A16FF9" w:rsidP="007F2366">
      <w:pPr>
        <w:keepNext/>
        <w:keepLines/>
        <w:spacing w:before="240" w:after="0"/>
        <w:jc w:val="both"/>
        <w:outlineLvl w:val="0"/>
        <w:rPr>
          <w:rFonts w:asciiTheme="majorHAnsi" w:eastAsiaTheme="majorEastAsia" w:hAnsiTheme="majorHAnsi" w:cstheme="majorBidi"/>
          <w:color w:val="2F5496" w:themeColor="accent1" w:themeShade="BF"/>
          <w:sz w:val="32"/>
          <w:szCs w:val="32"/>
        </w:rPr>
      </w:pPr>
      <w:bookmarkStart w:id="2" w:name="_Toc85050343"/>
      <w:bookmarkStart w:id="3" w:name="_Toc103266206"/>
      <w:r>
        <w:rPr>
          <w:rFonts w:asciiTheme="majorHAnsi" w:eastAsiaTheme="majorEastAsia" w:hAnsiTheme="majorHAnsi" w:cstheme="majorBidi"/>
          <w:color w:val="2F5496" w:themeColor="accent1" w:themeShade="BF"/>
          <w:sz w:val="32"/>
          <w:szCs w:val="32"/>
        </w:rPr>
        <w:lastRenderedPageBreak/>
        <w:t xml:space="preserve">SECTION 1: </w:t>
      </w:r>
      <w:bookmarkEnd w:id="2"/>
      <w:r>
        <w:rPr>
          <w:rFonts w:asciiTheme="majorHAnsi" w:eastAsiaTheme="majorEastAsia" w:hAnsiTheme="majorHAnsi" w:cstheme="majorBidi"/>
          <w:color w:val="2F5496" w:themeColor="accent1" w:themeShade="BF"/>
          <w:sz w:val="32"/>
          <w:szCs w:val="32"/>
        </w:rPr>
        <w:t>ASSESSMENT OF THE IRISH HOUSING MARKET</w:t>
      </w:r>
      <w:bookmarkEnd w:id="3"/>
    </w:p>
    <w:p w14:paraId="6FE3496D" w14:textId="1655D1BC" w:rsidR="00E413E9" w:rsidRDefault="00E413E9" w:rsidP="007F2366">
      <w:pPr>
        <w:jc w:val="both"/>
      </w:pPr>
    </w:p>
    <w:p w14:paraId="755BE0B3" w14:textId="2870A038" w:rsidR="00A16FF9" w:rsidRPr="00E413E9" w:rsidRDefault="00A16FF9" w:rsidP="007F2366">
      <w:pPr>
        <w:jc w:val="both"/>
        <w:rPr>
          <w:b/>
          <w:bCs/>
          <w:sz w:val="28"/>
          <w:szCs w:val="28"/>
        </w:rPr>
      </w:pPr>
      <w:r w:rsidRPr="00A16FF9">
        <w:rPr>
          <w:b/>
          <w:bCs/>
          <w:sz w:val="28"/>
          <w:szCs w:val="28"/>
        </w:rPr>
        <w:t>HOUSE PRICE TRENDS</w:t>
      </w:r>
    </w:p>
    <w:p w14:paraId="7D84D7FD" w14:textId="24CDE716" w:rsidR="00E413E9" w:rsidRPr="00E413E9" w:rsidRDefault="00637028" w:rsidP="007F2366">
      <w:pPr>
        <w:jc w:val="both"/>
        <w:rPr>
          <w:rFonts w:cstheme="minorHAnsi"/>
          <w:sz w:val="24"/>
          <w:szCs w:val="24"/>
        </w:rPr>
      </w:pPr>
      <w:r>
        <w:rPr>
          <w:rFonts w:cstheme="minorHAnsi"/>
          <w:sz w:val="24"/>
          <w:szCs w:val="24"/>
        </w:rPr>
        <w:t xml:space="preserve">Irish house prices </w:t>
      </w:r>
      <w:r w:rsidR="00C303C5">
        <w:rPr>
          <w:rFonts w:cstheme="minorHAnsi"/>
          <w:sz w:val="24"/>
          <w:szCs w:val="24"/>
        </w:rPr>
        <w:t xml:space="preserve">and house building activity declined sharply from 2008 onwards as the global financial crisis seriously impacted on the over-stretched Irish economy and financial system. Prices have rebounded strongly in recent years, but house building activity is still sub-optimal. </w:t>
      </w:r>
    </w:p>
    <w:p w14:paraId="6C5EF108" w14:textId="44DE3EE2" w:rsidR="00E413E9" w:rsidRPr="00FC59E9" w:rsidRDefault="00E413E9" w:rsidP="007F2366">
      <w:pPr>
        <w:jc w:val="both"/>
        <w:rPr>
          <w:rFonts w:cstheme="minorHAnsi"/>
          <w:sz w:val="24"/>
          <w:szCs w:val="24"/>
        </w:rPr>
      </w:pPr>
      <w:r w:rsidRPr="00FC59E9">
        <w:rPr>
          <w:rFonts w:cstheme="minorHAnsi"/>
          <w:sz w:val="24"/>
          <w:szCs w:val="24"/>
        </w:rPr>
        <w:t>Average house prices recovered strongly between 2013 and 2018</w:t>
      </w:r>
      <w:r w:rsidR="00C303C5" w:rsidRPr="00FC59E9">
        <w:rPr>
          <w:rFonts w:cstheme="minorHAnsi"/>
          <w:sz w:val="24"/>
          <w:szCs w:val="24"/>
        </w:rPr>
        <w:t>. They then</w:t>
      </w:r>
      <w:r w:rsidRPr="00FC59E9">
        <w:rPr>
          <w:rFonts w:cstheme="minorHAnsi"/>
          <w:sz w:val="24"/>
          <w:szCs w:val="24"/>
        </w:rPr>
        <w:t xml:space="preserve"> moderated during 2019</w:t>
      </w:r>
      <w:r w:rsidR="00C303C5" w:rsidRPr="00FC59E9">
        <w:rPr>
          <w:rFonts w:cstheme="minorHAnsi"/>
          <w:sz w:val="24"/>
          <w:szCs w:val="24"/>
        </w:rPr>
        <w:t xml:space="preserve"> as the Central Bank’s mortgage lending restrictions and the elevated level of prices created significant affordability pressures. </w:t>
      </w:r>
      <w:r w:rsidRPr="00FC59E9">
        <w:rPr>
          <w:rFonts w:cstheme="minorHAnsi"/>
          <w:sz w:val="24"/>
          <w:szCs w:val="24"/>
        </w:rPr>
        <w:t>However, house price inflation started to accelerate again later in 2020 and</w:t>
      </w:r>
      <w:r w:rsidR="00063ACB" w:rsidRPr="00FC59E9">
        <w:rPr>
          <w:rFonts w:cstheme="minorHAnsi"/>
          <w:sz w:val="24"/>
          <w:szCs w:val="24"/>
        </w:rPr>
        <w:t xml:space="preserve"> throughout </w:t>
      </w:r>
      <w:r w:rsidRPr="00FC59E9">
        <w:rPr>
          <w:rFonts w:cstheme="minorHAnsi"/>
          <w:sz w:val="24"/>
          <w:szCs w:val="24"/>
        </w:rPr>
        <w:t xml:space="preserve">2021, despite the COVID-19 crisis. </w:t>
      </w:r>
      <w:r w:rsidR="00063ACB" w:rsidRPr="00FC59E9">
        <w:rPr>
          <w:rFonts w:cstheme="minorHAnsi"/>
          <w:sz w:val="24"/>
          <w:szCs w:val="24"/>
        </w:rPr>
        <w:t xml:space="preserve">The rapid and damaging acceleration in prices has continued into 2022. </w:t>
      </w:r>
    </w:p>
    <w:p w14:paraId="11519DF2" w14:textId="6042B838" w:rsidR="00E413E9" w:rsidRPr="00FC59E9" w:rsidRDefault="00E413E9" w:rsidP="007F2366">
      <w:pPr>
        <w:jc w:val="both"/>
        <w:rPr>
          <w:rFonts w:cstheme="minorHAnsi"/>
          <w:sz w:val="24"/>
          <w:szCs w:val="24"/>
        </w:rPr>
      </w:pPr>
      <w:r w:rsidRPr="00FC59E9">
        <w:rPr>
          <w:rFonts w:cstheme="minorHAnsi"/>
          <w:sz w:val="24"/>
          <w:szCs w:val="24"/>
        </w:rPr>
        <w:t>The strong recovery in house prices from 2013 onwards was driven by pent-up demand coming back into the market after the economic crash; supportive economic fundamentals, particularly the strong recovery in employment; a greater level of confidence about the future; and strong population growth. Th</w:t>
      </w:r>
      <w:r w:rsidR="00063ACB" w:rsidRPr="00FC59E9">
        <w:rPr>
          <w:rFonts w:cstheme="minorHAnsi"/>
          <w:sz w:val="24"/>
          <w:szCs w:val="24"/>
        </w:rPr>
        <w:t xml:space="preserve">ese factors combined to generate strong demand, which encountered </w:t>
      </w:r>
      <w:r w:rsidRPr="00FC59E9">
        <w:rPr>
          <w:rFonts w:cstheme="minorHAnsi"/>
          <w:sz w:val="24"/>
          <w:szCs w:val="24"/>
        </w:rPr>
        <w:t>a lack of supply following the collapse in house building</w:t>
      </w:r>
      <w:r w:rsidR="00063ACB" w:rsidRPr="00FC59E9">
        <w:rPr>
          <w:rFonts w:cstheme="minorHAnsi"/>
          <w:sz w:val="24"/>
          <w:szCs w:val="24"/>
        </w:rPr>
        <w:t xml:space="preserve"> activity. T</w:t>
      </w:r>
      <w:r w:rsidRPr="00FC59E9">
        <w:rPr>
          <w:rFonts w:cstheme="minorHAnsi"/>
          <w:sz w:val="24"/>
          <w:szCs w:val="24"/>
        </w:rPr>
        <w:t xml:space="preserve">he net result was a significant recovery in prices. </w:t>
      </w:r>
    </w:p>
    <w:p w14:paraId="0324FEE5" w14:textId="77777777" w:rsidR="00E413E9" w:rsidRPr="00E413E9" w:rsidRDefault="00E413E9" w:rsidP="007F2366">
      <w:pPr>
        <w:jc w:val="both"/>
        <w:rPr>
          <w:b/>
          <w:bCs/>
          <w:sz w:val="24"/>
          <w:szCs w:val="24"/>
        </w:rPr>
      </w:pPr>
      <w:r w:rsidRPr="00E413E9">
        <w:rPr>
          <w:b/>
          <w:bCs/>
          <w:sz w:val="24"/>
          <w:szCs w:val="24"/>
        </w:rPr>
        <w:t>Figure 1: Residential Property Price Index</w:t>
      </w:r>
    </w:p>
    <w:p w14:paraId="3D535096" w14:textId="2FF77425" w:rsidR="00E413E9" w:rsidRPr="00E413E9" w:rsidRDefault="0073239E" w:rsidP="007F2366">
      <w:pPr>
        <w:jc w:val="both"/>
        <w:rPr>
          <w:b/>
          <w:bCs/>
          <w:sz w:val="24"/>
          <w:szCs w:val="24"/>
        </w:rPr>
      </w:pPr>
      <w:r>
        <w:rPr>
          <w:noProof/>
        </w:rPr>
        <w:drawing>
          <wp:inline distT="0" distB="0" distL="0" distR="0" wp14:anchorId="432F6C82" wp14:editId="6EB5B59F">
            <wp:extent cx="5731510" cy="2714625"/>
            <wp:effectExtent l="0" t="0" r="2540" b="9525"/>
            <wp:docPr id="2" name="Chart 2">
              <a:extLst xmlns:a="http://schemas.openxmlformats.org/drawingml/2006/main">
                <a:ext uri="{FF2B5EF4-FFF2-40B4-BE49-F238E27FC236}">
                  <a16:creationId xmlns:a16="http://schemas.microsoft.com/office/drawing/2014/main" id="{B0C80913-D7DB-43C3-9BBD-4B640F6BF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476994" w14:textId="77777777" w:rsidR="00E413E9" w:rsidRPr="00E413E9" w:rsidRDefault="00E413E9" w:rsidP="007F2366">
      <w:pPr>
        <w:jc w:val="both"/>
        <w:rPr>
          <w:sz w:val="24"/>
          <w:szCs w:val="24"/>
        </w:rPr>
      </w:pPr>
      <w:r w:rsidRPr="00E413E9">
        <w:rPr>
          <w:sz w:val="24"/>
          <w:szCs w:val="24"/>
        </w:rPr>
        <w:t>Source: CSO</w:t>
      </w:r>
    </w:p>
    <w:p w14:paraId="32138142" w14:textId="6294D5E2" w:rsidR="00E413E9" w:rsidRDefault="00E413E9" w:rsidP="007F2366">
      <w:pPr>
        <w:spacing w:after="0" w:line="240" w:lineRule="auto"/>
        <w:jc w:val="both"/>
        <w:rPr>
          <w:rFonts w:cstheme="minorHAnsi"/>
          <w:sz w:val="24"/>
          <w:szCs w:val="24"/>
        </w:rPr>
      </w:pPr>
      <w:r w:rsidRPr="00E413E9">
        <w:rPr>
          <w:rFonts w:cstheme="minorHAnsi"/>
          <w:sz w:val="24"/>
          <w:szCs w:val="24"/>
        </w:rPr>
        <w:t xml:space="preserve">The latest residential property price data from the </w:t>
      </w:r>
      <w:r w:rsidR="003757E5">
        <w:rPr>
          <w:rFonts w:cstheme="minorHAnsi"/>
          <w:sz w:val="24"/>
          <w:szCs w:val="24"/>
        </w:rPr>
        <w:t xml:space="preserve">Central </w:t>
      </w:r>
      <w:r w:rsidRPr="00E413E9">
        <w:rPr>
          <w:rFonts w:cstheme="minorHAnsi"/>
          <w:sz w:val="24"/>
          <w:szCs w:val="24"/>
        </w:rPr>
        <w:t>S</w:t>
      </w:r>
      <w:r w:rsidR="003757E5">
        <w:rPr>
          <w:rFonts w:cstheme="minorHAnsi"/>
          <w:sz w:val="24"/>
          <w:szCs w:val="24"/>
        </w:rPr>
        <w:t xml:space="preserve">tatistics </w:t>
      </w:r>
      <w:r w:rsidRPr="00E413E9">
        <w:rPr>
          <w:rFonts w:cstheme="minorHAnsi"/>
          <w:sz w:val="24"/>
          <w:szCs w:val="24"/>
        </w:rPr>
        <w:t>O</w:t>
      </w:r>
      <w:r w:rsidR="003757E5">
        <w:rPr>
          <w:rFonts w:cstheme="minorHAnsi"/>
          <w:sz w:val="24"/>
          <w:szCs w:val="24"/>
        </w:rPr>
        <w:t>ffice (CSO)</w:t>
      </w:r>
      <w:r w:rsidRPr="00E413E9">
        <w:rPr>
          <w:rFonts w:cstheme="minorHAnsi"/>
          <w:sz w:val="24"/>
          <w:szCs w:val="24"/>
        </w:rPr>
        <w:t xml:space="preserve"> show:</w:t>
      </w:r>
    </w:p>
    <w:p w14:paraId="75A7432F" w14:textId="77777777" w:rsidR="00D71BDF" w:rsidRDefault="00D71BDF" w:rsidP="007F2366">
      <w:pPr>
        <w:spacing w:after="0" w:line="240" w:lineRule="auto"/>
        <w:jc w:val="both"/>
        <w:rPr>
          <w:rFonts w:cstheme="minorHAnsi"/>
          <w:sz w:val="24"/>
          <w:szCs w:val="24"/>
        </w:rPr>
      </w:pPr>
    </w:p>
    <w:p w14:paraId="315283E4" w14:textId="0A505AF0" w:rsidR="00E413E9" w:rsidRPr="00FC59E9" w:rsidRDefault="00D71BDF" w:rsidP="007F2366">
      <w:pPr>
        <w:spacing w:after="0" w:line="240" w:lineRule="auto"/>
        <w:jc w:val="both"/>
        <w:rPr>
          <w:rFonts w:cstheme="minorHAnsi"/>
          <w:b/>
          <w:bCs/>
          <w:sz w:val="24"/>
          <w:szCs w:val="24"/>
        </w:rPr>
      </w:pPr>
      <w:r w:rsidRPr="00D71BDF">
        <w:rPr>
          <w:rFonts w:cstheme="minorHAnsi"/>
          <w:b/>
          <w:bCs/>
          <w:sz w:val="24"/>
          <w:szCs w:val="24"/>
        </w:rPr>
        <w:t>N</w:t>
      </w:r>
      <w:r>
        <w:rPr>
          <w:rFonts w:cstheme="minorHAnsi"/>
          <w:b/>
          <w:bCs/>
          <w:sz w:val="24"/>
          <w:szCs w:val="24"/>
        </w:rPr>
        <w:t>ATIONAL MARKET</w:t>
      </w:r>
    </w:p>
    <w:p w14:paraId="17DA56FA" w14:textId="77777777" w:rsidR="00D71BDF" w:rsidRPr="0079171A" w:rsidRDefault="00E413E9" w:rsidP="007F2366">
      <w:pPr>
        <w:pStyle w:val="ListParagraph"/>
        <w:numPr>
          <w:ilvl w:val="0"/>
          <w:numId w:val="8"/>
        </w:numPr>
        <w:spacing w:after="0" w:line="240" w:lineRule="auto"/>
        <w:jc w:val="both"/>
        <w:rPr>
          <w:rFonts w:eastAsiaTheme="minorEastAsia" w:cstheme="minorHAnsi"/>
          <w:sz w:val="24"/>
          <w:szCs w:val="24"/>
          <w:lang w:val="en-US"/>
        </w:rPr>
      </w:pPr>
      <w:r w:rsidRPr="0079171A">
        <w:rPr>
          <w:rFonts w:cstheme="minorHAnsi"/>
          <w:sz w:val="24"/>
          <w:szCs w:val="24"/>
          <w:lang w:val="en-US"/>
        </w:rPr>
        <w:t>National average residential property prices declined by 55.</w:t>
      </w:r>
      <w:r w:rsidR="00D71BDF" w:rsidRPr="0079171A">
        <w:rPr>
          <w:rFonts w:cstheme="minorHAnsi"/>
          <w:sz w:val="24"/>
          <w:szCs w:val="24"/>
          <w:lang w:val="en-US"/>
        </w:rPr>
        <w:t>1</w:t>
      </w:r>
      <w:r w:rsidRPr="0079171A">
        <w:rPr>
          <w:rFonts w:cstheme="minorHAnsi"/>
          <w:sz w:val="24"/>
          <w:szCs w:val="24"/>
          <w:lang w:val="en-US"/>
        </w:rPr>
        <w:t xml:space="preserve"> per cent between the peak of the market in April 2007 and the low point of the market in March 201</w:t>
      </w:r>
      <w:r w:rsidRPr="0079171A">
        <w:rPr>
          <w:rFonts w:eastAsiaTheme="minorEastAsia" w:cstheme="minorHAnsi"/>
          <w:sz w:val="24"/>
          <w:szCs w:val="24"/>
          <w:lang w:val="en-US"/>
        </w:rPr>
        <w:t xml:space="preserve">3. </w:t>
      </w:r>
    </w:p>
    <w:p w14:paraId="33DBBD3A" w14:textId="0FF72886" w:rsidR="00D71BDF" w:rsidRPr="0079171A" w:rsidRDefault="00E413E9" w:rsidP="007F2366">
      <w:pPr>
        <w:pStyle w:val="ListParagraph"/>
        <w:numPr>
          <w:ilvl w:val="0"/>
          <w:numId w:val="8"/>
        </w:numPr>
        <w:spacing w:after="0" w:line="240" w:lineRule="auto"/>
        <w:jc w:val="both"/>
        <w:rPr>
          <w:rFonts w:eastAsiaTheme="minorEastAsia" w:cstheme="minorHAnsi"/>
          <w:sz w:val="24"/>
          <w:szCs w:val="24"/>
          <w:lang w:val="en-US"/>
        </w:rPr>
      </w:pPr>
      <w:r w:rsidRPr="0079171A">
        <w:rPr>
          <w:rFonts w:eastAsiaTheme="minorEastAsia" w:cstheme="minorHAnsi"/>
          <w:sz w:val="24"/>
          <w:szCs w:val="24"/>
          <w:lang w:val="en-US"/>
        </w:rPr>
        <w:lastRenderedPageBreak/>
        <w:t xml:space="preserve">Between March 2013 and </w:t>
      </w:r>
      <w:r w:rsidR="00D71BDF" w:rsidRPr="0079171A">
        <w:rPr>
          <w:rFonts w:eastAsiaTheme="minorEastAsia" w:cstheme="minorHAnsi"/>
          <w:sz w:val="24"/>
          <w:szCs w:val="24"/>
          <w:lang w:val="en-US"/>
        </w:rPr>
        <w:t>February</w:t>
      </w:r>
      <w:r w:rsidRPr="0079171A">
        <w:rPr>
          <w:rFonts w:eastAsiaTheme="minorEastAsia" w:cstheme="minorHAnsi"/>
          <w:sz w:val="24"/>
          <w:szCs w:val="24"/>
          <w:lang w:val="en-US"/>
        </w:rPr>
        <w:t xml:space="preserve"> 202</w:t>
      </w:r>
      <w:r w:rsidR="00D71BDF" w:rsidRPr="0079171A">
        <w:rPr>
          <w:rFonts w:eastAsiaTheme="minorEastAsia" w:cstheme="minorHAnsi"/>
          <w:sz w:val="24"/>
          <w:szCs w:val="24"/>
          <w:lang w:val="en-US"/>
        </w:rPr>
        <w:t>2</w:t>
      </w:r>
      <w:r w:rsidRPr="0079171A">
        <w:rPr>
          <w:rFonts w:cstheme="minorHAnsi"/>
          <w:sz w:val="24"/>
          <w:szCs w:val="24"/>
          <w:lang w:val="en-US"/>
        </w:rPr>
        <w:t>, prices increased by</w:t>
      </w:r>
      <w:r w:rsidRPr="0079171A">
        <w:rPr>
          <w:rFonts w:eastAsiaTheme="minorEastAsia" w:cstheme="minorHAnsi"/>
          <w:sz w:val="24"/>
          <w:szCs w:val="24"/>
          <w:lang w:val="en-US"/>
        </w:rPr>
        <w:t xml:space="preserve"> 1</w:t>
      </w:r>
      <w:r w:rsidR="00D71BDF" w:rsidRPr="0079171A">
        <w:rPr>
          <w:rFonts w:eastAsiaTheme="minorEastAsia" w:cstheme="minorHAnsi"/>
          <w:sz w:val="24"/>
          <w:szCs w:val="24"/>
          <w:lang w:val="en-US"/>
        </w:rPr>
        <w:t>17.2</w:t>
      </w:r>
      <w:r w:rsidRPr="0079171A">
        <w:rPr>
          <w:rFonts w:eastAsiaTheme="minorEastAsia" w:cstheme="minorHAnsi"/>
          <w:sz w:val="24"/>
          <w:szCs w:val="24"/>
          <w:lang w:val="en-US"/>
        </w:rPr>
        <w:t xml:space="preserve"> per cent. </w:t>
      </w:r>
    </w:p>
    <w:p w14:paraId="7EB3597F" w14:textId="77777777" w:rsidR="0079171A" w:rsidRPr="0079171A" w:rsidRDefault="00E413E9" w:rsidP="007F2366">
      <w:pPr>
        <w:pStyle w:val="ListParagraph"/>
        <w:numPr>
          <w:ilvl w:val="0"/>
          <w:numId w:val="8"/>
        </w:numPr>
        <w:spacing w:after="0" w:line="240" w:lineRule="auto"/>
        <w:jc w:val="both"/>
        <w:rPr>
          <w:rFonts w:eastAsiaTheme="minorEastAsia" w:cstheme="minorHAnsi"/>
          <w:sz w:val="24"/>
          <w:szCs w:val="24"/>
          <w:lang w:val="en-US"/>
        </w:rPr>
      </w:pPr>
      <w:r w:rsidRPr="0079171A">
        <w:rPr>
          <w:rFonts w:eastAsiaTheme="minorEastAsia" w:cstheme="minorHAnsi"/>
          <w:sz w:val="24"/>
          <w:szCs w:val="24"/>
          <w:lang w:val="en-US"/>
        </w:rPr>
        <w:t xml:space="preserve">Prices in </w:t>
      </w:r>
      <w:r w:rsidR="00D71BDF" w:rsidRPr="0079171A">
        <w:rPr>
          <w:rFonts w:eastAsiaTheme="minorEastAsia" w:cstheme="minorHAnsi"/>
          <w:sz w:val="24"/>
          <w:szCs w:val="24"/>
          <w:lang w:val="en-US"/>
        </w:rPr>
        <w:t>February 2</w:t>
      </w:r>
      <w:r w:rsidR="0079171A" w:rsidRPr="0079171A">
        <w:rPr>
          <w:rFonts w:eastAsiaTheme="minorEastAsia" w:cstheme="minorHAnsi"/>
          <w:sz w:val="24"/>
          <w:szCs w:val="24"/>
          <w:lang w:val="en-US"/>
        </w:rPr>
        <w:t>0</w:t>
      </w:r>
      <w:r w:rsidRPr="0079171A">
        <w:rPr>
          <w:rFonts w:eastAsiaTheme="minorEastAsia" w:cstheme="minorHAnsi"/>
          <w:sz w:val="24"/>
          <w:szCs w:val="24"/>
          <w:lang w:val="en-US"/>
        </w:rPr>
        <w:t>2</w:t>
      </w:r>
      <w:r w:rsidR="0079171A" w:rsidRPr="0079171A">
        <w:rPr>
          <w:rFonts w:eastAsiaTheme="minorEastAsia" w:cstheme="minorHAnsi"/>
          <w:sz w:val="24"/>
          <w:szCs w:val="24"/>
          <w:lang w:val="en-US"/>
        </w:rPr>
        <w:t>2</w:t>
      </w:r>
      <w:r w:rsidRPr="0079171A">
        <w:rPr>
          <w:rFonts w:eastAsiaTheme="minorEastAsia" w:cstheme="minorHAnsi"/>
          <w:sz w:val="24"/>
          <w:szCs w:val="24"/>
          <w:lang w:val="en-US"/>
        </w:rPr>
        <w:t xml:space="preserve"> were 1</w:t>
      </w:r>
      <w:r w:rsidR="0079171A" w:rsidRPr="0079171A">
        <w:rPr>
          <w:rFonts w:eastAsiaTheme="minorEastAsia" w:cstheme="minorHAnsi"/>
          <w:sz w:val="24"/>
          <w:szCs w:val="24"/>
          <w:lang w:val="en-US"/>
        </w:rPr>
        <w:t>5.3</w:t>
      </w:r>
      <w:r w:rsidRPr="0079171A">
        <w:rPr>
          <w:rFonts w:eastAsiaTheme="minorEastAsia" w:cstheme="minorHAnsi"/>
          <w:sz w:val="24"/>
          <w:szCs w:val="24"/>
          <w:lang w:val="en-US"/>
        </w:rPr>
        <w:t xml:space="preserve"> per cent higher than a year earlier. </w:t>
      </w:r>
    </w:p>
    <w:p w14:paraId="23FC65EF" w14:textId="517FB023" w:rsidR="00D71BDF" w:rsidRPr="0079171A" w:rsidRDefault="00E413E9" w:rsidP="007F2366">
      <w:pPr>
        <w:pStyle w:val="ListParagraph"/>
        <w:numPr>
          <w:ilvl w:val="0"/>
          <w:numId w:val="8"/>
        </w:numPr>
        <w:spacing w:after="0" w:line="240" w:lineRule="auto"/>
        <w:jc w:val="both"/>
        <w:rPr>
          <w:rFonts w:eastAsiaTheme="minorEastAsia" w:cstheme="minorHAnsi"/>
          <w:sz w:val="24"/>
          <w:szCs w:val="24"/>
          <w:lang w:val="en-US"/>
        </w:rPr>
      </w:pPr>
      <w:r w:rsidRPr="0079171A">
        <w:rPr>
          <w:rFonts w:eastAsiaTheme="minorEastAsia" w:cstheme="minorHAnsi"/>
          <w:sz w:val="24"/>
          <w:szCs w:val="24"/>
          <w:lang w:val="en-US"/>
        </w:rPr>
        <w:t xml:space="preserve">The national </w:t>
      </w:r>
      <w:r w:rsidR="0079171A" w:rsidRPr="0079171A">
        <w:rPr>
          <w:rFonts w:eastAsiaTheme="minorEastAsia" w:cstheme="minorHAnsi"/>
          <w:sz w:val="24"/>
          <w:szCs w:val="24"/>
          <w:lang w:val="en-US"/>
        </w:rPr>
        <w:t xml:space="preserve">average </w:t>
      </w:r>
      <w:r w:rsidR="00C71EF2">
        <w:rPr>
          <w:rFonts w:eastAsiaTheme="minorEastAsia" w:cstheme="minorHAnsi"/>
          <w:sz w:val="24"/>
          <w:szCs w:val="24"/>
          <w:lang w:val="en-US"/>
        </w:rPr>
        <w:t>residential property</w:t>
      </w:r>
      <w:r w:rsidRPr="0079171A">
        <w:rPr>
          <w:rFonts w:eastAsiaTheme="minorEastAsia" w:cstheme="minorHAnsi"/>
          <w:sz w:val="24"/>
          <w:szCs w:val="24"/>
          <w:lang w:val="en-US"/>
        </w:rPr>
        <w:t xml:space="preserve"> price index in </w:t>
      </w:r>
      <w:r w:rsidR="0079171A" w:rsidRPr="0079171A">
        <w:rPr>
          <w:rFonts w:eastAsiaTheme="minorEastAsia" w:cstheme="minorHAnsi"/>
          <w:sz w:val="24"/>
          <w:szCs w:val="24"/>
          <w:lang w:val="en-US"/>
        </w:rPr>
        <w:t>February 2022</w:t>
      </w:r>
      <w:r w:rsidRPr="0079171A">
        <w:rPr>
          <w:rFonts w:eastAsiaTheme="minorEastAsia" w:cstheme="minorHAnsi"/>
          <w:sz w:val="24"/>
          <w:szCs w:val="24"/>
          <w:lang w:val="en-US"/>
        </w:rPr>
        <w:t xml:space="preserve"> was</w:t>
      </w:r>
      <w:r w:rsidR="0079171A" w:rsidRPr="0079171A">
        <w:rPr>
          <w:rFonts w:eastAsiaTheme="minorEastAsia" w:cstheme="minorHAnsi"/>
          <w:sz w:val="24"/>
          <w:szCs w:val="24"/>
          <w:lang w:val="en-US"/>
        </w:rPr>
        <w:t xml:space="preserve"> 2.5</w:t>
      </w:r>
      <w:r w:rsidRPr="0079171A">
        <w:rPr>
          <w:rFonts w:eastAsiaTheme="minorEastAsia" w:cstheme="minorHAnsi"/>
          <w:sz w:val="24"/>
          <w:szCs w:val="24"/>
          <w:lang w:val="en-US"/>
        </w:rPr>
        <w:t xml:space="preserve"> per cent lower than its highest level in May 2007.</w:t>
      </w:r>
      <w:r w:rsidRPr="0079171A">
        <w:rPr>
          <w:rFonts w:eastAsiaTheme="minorEastAsia" w:cstheme="minorHAnsi"/>
          <w:sz w:val="24"/>
          <w:szCs w:val="24"/>
          <w:lang w:val="en-US"/>
        </w:rPr>
        <w:tab/>
      </w:r>
    </w:p>
    <w:p w14:paraId="267369F3" w14:textId="77777777" w:rsidR="00D71BDF" w:rsidRDefault="00D71BDF" w:rsidP="007F2366">
      <w:pPr>
        <w:spacing w:after="0" w:line="240" w:lineRule="auto"/>
        <w:contextualSpacing/>
        <w:jc w:val="both"/>
        <w:rPr>
          <w:rFonts w:eastAsiaTheme="minorEastAsia" w:cstheme="minorHAnsi"/>
          <w:sz w:val="24"/>
          <w:szCs w:val="24"/>
          <w:lang w:val="en-US"/>
        </w:rPr>
      </w:pPr>
    </w:p>
    <w:p w14:paraId="459A7D2C" w14:textId="4D853508" w:rsidR="00E413E9" w:rsidRPr="00FC59E9" w:rsidRDefault="00D71BDF" w:rsidP="007F2366">
      <w:pPr>
        <w:spacing w:after="0" w:line="240" w:lineRule="auto"/>
        <w:contextualSpacing/>
        <w:jc w:val="both"/>
        <w:rPr>
          <w:rFonts w:eastAsiaTheme="minorEastAsia" w:cstheme="minorHAnsi"/>
          <w:b/>
          <w:bCs/>
          <w:sz w:val="24"/>
          <w:szCs w:val="24"/>
          <w:lang w:val="en-US"/>
        </w:rPr>
      </w:pPr>
      <w:r w:rsidRPr="00D71BDF">
        <w:rPr>
          <w:rFonts w:eastAsiaTheme="minorEastAsia" w:cstheme="minorHAnsi"/>
          <w:b/>
          <w:bCs/>
          <w:sz w:val="24"/>
          <w:szCs w:val="24"/>
          <w:lang w:val="en-US"/>
        </w:rPr>
        <w:t>MARKET OUTSIDE OF DUBLIN</w:t>
      </w:r>
    </w:p>
    <w:p w14:paraId="0C38ABB3" w14:textId="77777777" w:rsidR="0079171A" w:rsidRPr="00C71EF2" w:rsidRDefault="00E413E9" w:rsidP="007F2366">
      <w:pPr>
        <w:pStyle w:val="ListParagraph"/>
        <w:numPr>
          <w:ilvl w:val="0"/>
          <w:numId w:val="9"/>
        </w:numPr>
        <w:spacing w:after="0" w:line="240" w:lineRule="auto"/>
        <w:jc w:val="both"/>
        <w:rPr>
          <w:rFonts w:eastAsiaTheme="minorEastAsia" w:cstheme="minorHAnsi"/>
          <w:sz w:val="24"/>
          <w:szCs w:val="24"/>
          <w:lang w:val="en-US"/>
        </w:rPr>
      </w:pPr>
      <w:r w:rsidRPr="00C71EF2">
        <w:rPr>
          <w:rFonts w:cstheme="minorHAnsi"/>
          <w:sz w:val="24"/>
          <w:szCs w:val="24"/>
          <w:lang w:val="en-US"/>
        </w:rPr>
        <w:t>In the Rest of Ireland (excluding Dublin), average residential property prices declined by 56.</w:t>
      </w:r>
      <w:r w:rsidR="0079171A" w:rsidRPr="00C71EF2">
        <w:rPr>
          <w:rFonts w:cstheme="minorHAnsi"/>
          <w:sz w:val="24"/>
          <w:szCs w:val="24"/>
          <w:lang w:val="en-US"/>
        </w:rPr>
        <w:t>6</w:t>
      </w:r>
      <w:r w:rsidRPr="00C71EF2">
        <w:rPr>
          <w:rFonts w:cstheme="minorHAnsi"/>
          <w:sz w:val="24"/>
          <w:szCs w:val="24"/>
          <w:lang w:val="en-US"/>
        </w:rPr>
        <w:t xml:space="preserve"> per cent between the peak of the market in May 2007 and the low point of the market in May 20</w:t>
      </w:r>
      <w:r w:rsidRPr="00C71EF2">
        <w:rPr>
          <w:rFonts w:eastAsiaTheme="minorEastAsia" w:cstheme="minorHAnsi"/>
          <w:sz w:val="24"/>
          <w:szCs w:val="24"/>
          <w:lang w:val="en-US"/>
        </w:rPr>
        <w:t xml:space="preserve">13. </w:t>
      </w:r>
    </w:p>
    <w:p w14:paraId="29934CDE" w14:textId="77777777" w:rsidR="0079171A" w:rsidRPr="00C71EF2" w:rsidRDefault="00E413E9" w:rsidP="007F2366">
      <w:pPr>
        <w:pStyle w:val="ListParagraph"/>
        <w:numPr>
          <w:ilvl w:val="0"/>
          <w:numId w:val="9"/>
        </w:numPr>
        <w:spacing w:after="0" w:line="240" w:lineRule="auto"/>
        <w:jc w:val="both"/>
        <w:rPr>
          <w:rFonts w:eastAsiaTheme="minorEastAsia" w:cstheme="minorHAnsi"/>
          <w:sz w:val="24"/>
          <w:szCs w:val="24"/>
          <w:lang w:val="en-US"/>
        </w:rPr>
      </w:pPr>
      <w:r w:rsidRPr="00C71EF2">
        <w:rPr>
          <w:rFonts w:eastAsiaTheme="minorEastAsia" w:cstheme="minorHAnsi"/>
          <w:sz w:val="24"/>
          <w:szCs w:val="24"/>
          <w:lang w:val="en-US"/>
        </w:rPr>
        <w:t xml:space="preserve">Between May 2013 and </w:t>
      </w:r>
      <w:r w:rsidR="0079171A" w:rsidRPr="00C71EF2">
        <w:rPr>
          <w:rFonts w:eastAsiaTheme="minorEastAsia" w:cstheme="minorHAnsi"/>
          <w:sz w:val="24"/>
          <w:szCs w:val="24"/>
          <w:lang w:val="en-US"/>
        </w:rPr>
        <w:t>February</w:t>
      </w:r>
      <w:r w:rsidRPr="00C71EF2">
        <w:rPr>
          <w:rFonts w:eastAsiaTheme="minorEastAsia" w:cstheme="minorHAnsi"/>
          <w:sz w:val="24"/>
          <w:szCs w:val="24"/>
          <w:lang w:val="en-US"/>
        </w:rPr>
        <w:t xml:space="preserve"> 202</w:t>
      </w:r>
      <w:r w:rsidR="0079171A" w:rsidRPr="00C71EF2">
        <w:rPr>
          <w:rFonts w:eastAsiaTheme="minorEastAsia" w:cstheme="minorHAnsi"/>
          <w:sz w:val="24"/>
          <w:szCs w:val="24"/>
          <w:lang w:val="en-US"/>
        </w:rPr>
        <w:t>2</w:t>
      </w:r>
      <w:r w:rsidRPr="00C71EF2">
        <w:rPr>
          <w:rFonts w:eastAsiaTheme="minorEastAsia" w:cstheme="minorHAnsi"/>
          <w:sz w:val="24"/>
          <w:szCs w:val="24"/>
          <w:lang w:val="en-US"/>
        </w:rPr>
        <w:t>, prices increased by 1</w:t>
      </w:r>
      <w:r w:rsidR="0079171A" w:rsidRPr="00C71EF2">
        <w:rPr>
          <w:rFonts w:eastAsiaTheme="minorEastAsia" w:cstheme="minorHAnsi"/>
          <w:sz w:val="24"/>
          <w:szCs w:val="24"/>
          <w:lang w:val="en-US"/>
        </w:rPr>
        <w:t>21.3</w:t>
      </w:r>
      <w:r w:rsidRPr="00C71EF2">
        <w:rPr>
          <w:rFonts w:eastAsiaTheme="minorEastAsia" w:cstheme="minorHAnsi"/>
          <w:sz w:val="24"/>
          <w:szCs w:val="24"/>
          <w:lang w:val="en-US"/>
        </w:rPr>
        <w:t xml:space="preserve"> per cent.</w:t>
      </w:r>
    </w:p>
    <w:p w14:paraId="5534CA72" w14:textId="77777777" w:rsidR="0079171A" w:rsidRPr="00C71EF2" w:rsidRDefault="00E413E9" w:rsidP="007F2366">
      <w:pPr>
        <w:pStyle w:val="ListParagraph"/>
        <w:numPr>
          <w:ilvl w:val="0"/>
          <w:numId w:val="9"/>
        </w:numPr>
        <w:spacing w:after="0" w:line="240" w:lineRule="auto"/>
        <w:jc w:val="both"/>
        <w:rPr>
          <w:rFonts w:eastAsiaTheme="minorEastAsia" w:cstheme="minorHAnsi"/>
          <w:sz w:val="24"/>
          <w:szCs w:val="24"/>
          <w:lang w:val="en-US"/>
        </w:rPr>
      </w:pPr>
      <w:r w:rsidRPr="00C71EF2">
        <w:rPr>
          <w:rFonts w:eastAsiaTheme="minorEastAsia" w:cstheme="minorHAnsi"/>
          <w:sz w:val="24"/>
          <w:szCs w:val="24"/>
          <w:lang w:val="en-US"/>
        </w:rPr>
        <w:t xml:space="preserve">Prices in </w:t>
      </w:r>
      <w:r w:rsidR="0079171A" w:rsidRPr="00C71EF2">
        <w:rPr>
          <w:rFonts w:eastAsiaTheme="minorEastAsia" w:cstheme="minorHAnsi"/>
          <w:sz w:val="24"/>
          <w:szCs w:val="24"/>
          <w:lang w:val="en-US"/>
        </w:rPr>
        <w:t>February 2022</w:t>
      </w:r>
      <w:r w:rsidRPr="00C71EF2">
        <w:rPr>
          <w:rFonts w:eastAsiaTheme="minorEastAsia" w:cstheme="minorHAnsi"/>
          <w:sz w:val="24"/>
          <w:szCs w:val="24"/>
          <w:lang w:val="en-US"/>
        </w:rPr>
        <w:t xml:space="preserve"> were 1</w:t>
      </w:r>
      <w:r w:rsidR="0079171A" w:rsidRPr="00C71EF2">
        <w:rPr>
          <w:rFonts w:eastAsiaTheme="minorEastAsia" w:cstheme="minorHAnsi"/>
          <w:sz w:val="24"/>
          <w:szCs w:val="24"/>
          <w:lang w:val="en-US"/>
        </w:rPr>
        <w:t>6.7</w:t>
      </w:r>
      <w:r w:rsidRPr="00C71EF2">
        <w:rPr>
          <w:rFonts w:eastAsiaTheme="minorEastAsia" w:cstheme="minorHAnsi"/>
          <w:sz w:val="24"/>
          <w:szCs w:val="24"/>
          <w:lang w:val="en-US"/>
        </w:rPr>
        <w:t xml:space="preserve"> per cent higher than a year earlier. </w:t>
      </w:r>
    </w:p>
    <w:p w14:paraId="087C706E" w14:textId="24B2FA51" w:rsidR="00D71BDF" w:rsidRPr="00C71EF2" w:rsidRDefault="0079171A" w:rsidP="007F2366">
      <w:pPr>
        <w:pStyle w:val="ListParagraph"/>
        <w:numPr>
          <w:ilvl w:val="0"/>
          <w:numId w:val="9"/>
        </w:numPr>
        <w:spacing w:after="0" w:line="240" w:lineRule="auto"/>
        <w:jc w:val="both"/>
        <w:rPr>
          <w:rFonts w:eastAsiaTheme="minorEastAsia" w:cstheme="minorHAnsi"/>
          <w:sz w:val="24"/>
          <w:szCs w:val="24"/>
          <w:lang w:val="en-US"/>
        </w:rPr>
      </w:pPr>
      <w:r w:rsidRPr="00C71EF2">
        <w:rPr>
          <w:rFonts w:eastAsiaTheme="minorEastAsia" w:cstheme="minorHAnsi"/>
          <w:sz w:val="24"/>
          <w:szCs w:val="24"/>
          <w:lang w:val="en-US"/>
        </w:rPr>
        <w:t xml:space="preserve">The national average </w:t>
      </w:r>
      <w:r w:rsidR="00C71EF2">
        <w:rPr>
          <w:rFonts w:eastAsiaTheme="minorEastAsia" w:cstheme="minorHAnsi"/>
          <w:sz w:val="24"/>
          <w:szCs w:val="24"/>
          <w:lang w:val="en-US"/>
        </w:rPr>
        <w:t>residential property</w:t>
      </w:r>
      <w:r w:rsidRPr="00C71EF2">
        <w:rPr>
          <w:rFonts w:eastAsiaTheme="minorEastAsia" w:cstheme="minorHAnsi"/>
          <w:sz w:val="24"/>
          <w:szCs w:val="24"/>
          <w:lang w:val="en-US"/>
        </w:rPr>
        <w:t xml:space="preserve"> price index </w:t>
      </w:r>
      <w:r w:rsidR="00E413E9" w:rsidRPr="00C71EF2">
        <w:rPr>
          <w:rFonts w:eastAsiaTheme="minorEastAsia" w:cstheme="minorHAnsi"/>
          <w:sz w:val="24"/>
          <w:szCs w:val="24"/>
          <w:lang w:val="en-US"/>
        </w:rPr>
        <w:t xml:space="preserve">outside of Dublin in </w:t>
      </w:r>
      <w:r w:rsidRPr="00C71EF2">
        <w:rPr>
          <w:rFonts w:eastAsiaTheme="minorEastAsia" w:cstheme="minorHAnsi"/>
          <w:sz w:val="24"/>
          <w:szCs w:val="24"/>
          <w:lang w:val="en-US"/>
        </w:rPr>
        <w:t>February 2022 was 3.9 per cent</w:t>
      </w:r>
      <w:r w:rsidR="00E413E9" w:rsidRPr="00C71EF2">
        <w:rPr>
          <w:rFonts w:eastAsiaTheme="minorEastAsia" w:cstheme="minorHAnsi"/>
          <w:sz w:val="24"/>
          <w:szCs w:val="24"/>
          <w:lang w:val="en-US"/>
        </w:rPr>
        <w:t xml:space="preserve"> lower than the May 2007 peak.</w:t>
      </w:r>
      <w:r w:rsidR="00E413E9" w:rsidRPr="00C71EF2">
        <w:rPr>
          <w:rFonts w:eastAsiaTheme="minorEastAsia" w:cstheme="minorHAnsi"/>
          <w:sz w:val="24"/>
          <w:szCs w:val="24"/>
          <w:lang w:val="en-US"/>
        </w:rPr>
        <w:tab/>
      </w:r>
    </w:p>
    <w:p w14:paraId="636BADF8" w14:textId="77777777" w:rsidR="00D71BDF" w:rsidRDefault="00D71BDF" w:rsidP="007F2366">
      <w:pPr>
        <w:spacing w:after="0" w:line="240" w:lineRule="auto"/>
        <w:contextualSpacing/>
        <w:jc w:val="both"/>
        <w:rPr>
          <w:rFonts w:eastAsiaTheme="minorEastAsia" w:cstheme="minorHAnsi"/>
          <w:sz w:val="24"/>
          <w:szCs w:val="24"/>
          <w:lang w:val="en-US"/>
        </w:rPr>
      </w:pPr>
    </w:p>
    <w:p w14:paraId="52C0D56E" w14:textId="57EFB6FF" w:rsidR="00E413E9" w:rsidRPr="00FC59E9" w:rsidRDefault="00D71BDF" w:rsidP="007F2366">
      <w:pPr>
        <w:spacing w:after="0" w:line="240" w:lineRule="auto"/>
        <w:contextualSpacing/>
        <w:jc w:val="both"/>
        <w:rPr>
          <w:rFonts w:eastAsiaTheme="minorEastAsia" w:cstheme="minorHAnsi"/>
          <w:b/>
          <w:bCs/>
          <w:sz w:val="24"/>
          <w:szCs w:val="24"/>
          <w:lang w:val="en-US"/>
        </w:rPr>
      </w:pPr>
      <w:r w:rsidRPr="00D71BDF">
        <w:rPr>
          <w:rFonts w:eastAsiaTheme="minorEastAsia" w:cstheme="minorHAnsi"/>
          <w:b/>
          <w:bCs/>
          <w:sz w:val="24"/>
          <w:szCs w:val="24"/>
          <w:lang w:val="en-US"/>
        </w:rPr>
        <w:t>DUBLIN MARKET</w:t>
      </w:r>
      <w:r w:rsidR="00E413E9" w:rsidRPr="00E413E9">
        <w:rPr>
          <w:rFonts w:eastAsiaTheme="minorEastAsia" w:cstheme="minorHAnsi"/>
          <w:sz w:val="24"/>
          <w:szCs w:val="24"/>
          <w:lang w:val="en-US"/>
        </w:rPr>
        <w:tab/>
      </w:r>
      <w:r w:rsidR="00E413E9" w:rsidRPr="00E413E9">
        <w:rPr>
          <w:rFonts w:eastAsiaTheme="minorEastAsia" w:cstheme="minorHAnsi"/>
          <w:sz w:val="24"/>
          <w:szCs w:val="24"/>
          <w:lang w:val="en-US"/>
        </w:rPr>
        <w:tab/>
      </w:r>
      <w:r w:rsidR="00E413E9" w:rsidRPr="00E413E9">
        <w:rPr>
          <w:rFonts w:eastAsiaTheme="minorEastAsia" w:cstheme="minorHAnsi"/>
          <w:sz w:val="24"/>
          <w:szCs w:val="24"/>
          <w:lang w:val="en-US"/>
        </w:rPr>
        <w:tab/>
      </w:r>
      <w:r w:rsidR="00E413E9" w:rsidRPr="00E413E9">
        <w:rPr>
          <w:rFonts w:eastAsiaTheme="minorEastAsia" w:cstheme="minorHAnsi"/>
          <w:sz w:val="24"/>
          <w:szCs w:val="24"/>
          <w:lang w:val="en-US"/>
        </w:rPr>
        <w:tab/>
      </w:r>
      <w:r w:rsidR="00E413E9" w:rsidRPr="00E413E9">
        <w:rPr>
          <w:rFonts w:eastAsiaTheme="minorEastAsia" w:cstheme="minorHAnsi"/>
          <w:sz w:val="24"/>
          <w:szCs w:val="24"/>
          <w:lang w:val="en-US"/>
        </w:rPr>
        <w:tab/>
      </w:r>
      <w:r w:rsidR="00E413E9" w:rsidRPr="00E413E9">
        <w:rPr>
          <w:rFonts w:eastAsiaTheme="minorEastAsia" w:cstheme="minorHAnsi"/>
          <w:sz w:val="24"/>
          <w:szCs w:val="24"/>
          <w:lang w:val="en-US"/>
        </w:rPr>
        <w:tab/>
      </w:r>
      <w:r w:rsidR="00E413E9" w:rsidRPr="00E413E9">
        <w:rPr>
          <w:rFonts w:eastAsiaTheme="minorEastAsia" w:cstheme="minorHAnsi"/>
          <w:sz w:val="24"/>
          <w:szCs w:val="24"/>
          <w:lang w:val="en-US"/>
        </w:rPr>
        <w:tab/>
      </w:r>
    </w:p>
    <w:p w14:paraId="1D7E872B" w14:textId="77777777" w:rsidR="00C71EF2" w:rsidRPr="00C61188" w:rsidRDefault="00E413E9" w:rsidP="007F2366">
      <w:pPr>
        <w:pStyle w:val="ListParagraph"/>
        <w:numPr>
          <w:ilvl w:val="0"/>
          <w:numId w:val="10"/>
        </w:numPr>
        <w:spacing w:after="0" w:line="240" w:lineRule="auto"/>
        <w:jc w:val="both"/>
        <w:rPr>
          <w:rFonts w:eastAsiaTheme="minorEastAsia" w:cstheme="minorHAnsi"/>
          <w:sz w:val="24"/>
          <w:szCs w:val="24"/>
          <w:lang w:val="en-US"/>
        </w:rPr>
      </w:pPr>
      <w:r w:rsidRPr="00C61188">
        <w:rPr>
          <w:rFonts w:eastAsiaTheme="minorEastAsia" w:cstheme="minorHAnsi"/>
          <w:sz w:val="24"/>
          <w:szCs w:val="24"/>
          <w:lang w:val="en-US"/>
        </w:rPr>
        <w:t xml:space="preserve">In </w:t>
      </w:r>
      <w:r w:rsidRPr="00C61188">
        <w:rPr>
          <w:rFonts w:cstheme="minorHAnsi"/>
          <w:sz w:val="24"/>
          <w:szCs w:val="24"/>
          <w:lang w:val="en-US"/>
        </w:rPr>
        <w:t>Dublin</w:t>
      </w:r>
      <w:r w:rsidRPr="00C61188">
        <w:rPr>
          <w:rFonts w:eastAsiaTheme="minorEastAsia" w:cstheme="minorHAnsi"/>
          <w:sz w:val="24"/>
          <w:szCs w:val="24"/>
          <w:lang w:val="en-US"/>
        </w:rPr>
        <w:t>,</w:t>
      </w:r>
      <w:r w:rsidRPr="00C61188">
        <w:rPr>
          <w:rFonts w:cstheme="minorHAnsi"/>
          <w:sz w:val="24"/>
          <w:szCs w:val="24"/>
          <w:lang w:val="en-US"/>
        </w:rPr>
        <w:t xml:space="preserve"> average residential prices declined by 59.6 per cent between the peak of the market in February 2007 and the low point of the market in February 2</w:t>
      </w:r>
      <w:r w:rsidRPr="00C61188">
        <w:rPr>
          <w:rFonts w:eastAsiaTheme="minorEastAsia" w:cstheme="minorHAnsi"/>
          <w:sz w:val="24"/>
          <w:szCs w:val="24"/>
          <w:lang w:val="en-US"/>
        </w:rPr>
        <w:t xml:space="preserve">012. </w:t>
      </w:r>
    </w:p>
    <w:p w14:paraId="164227E5" w14:textId="0139B26C" w:rsidR="00C71EF2" w:rsidRPr="00C61188" w:rsidRDefault="00E413E9" w:rsidP="007F2366">
      <w:pPr>
        <w:pStyle w:val="ListParagraph"/>
        <w:numPr>
          <w:ilvl w:val="0"/>
          <w:numId w:val="10"/>
        </w:numPr>
        <w:spacing w:after="0" w:line="240" w:lineRule="auto"/>
        <w:jc w:val="both"/>
        <w:rPr>
          <w:rFonts w:eastAsiaTheme="minorEastAsia" w:cstheme="minorHAnsi"/>
          <w:sz w:val="24"/>
          <w:szCs w:val="24"/>
          <w:lang w:val="en-US"/>
        </w:rPr>
      </w:pPr>
      <w:r w:rsidRPr="00C61188">
        <w:rPr>
          <w:rFonts w:eastAsiaTheme="minorEastAsia" w:cstheme="minorHAnsi"/>
          <w:sz w:val="24"/>
          <w:szCs w:val="24"/>
          <w:lang w:val="en-US"/>
        </w:rPr>
        <w:t xml:space="preserve">Between February 2012 and </w:t>
      </w:r>
      <w:r w:rsidR="00C71EF2" w:rsidRPr="00C61188">
        <w:rPr>
          <w:rFonts w:eastAsiaTheme="minorEastAsia" w:cstheme="minorHAnsi"/>
          <w:sz w:val="24"/>
          <w:szCs w:val="24"/>
          <w:lang w:val="en-US"/>
        </w:rPr>
        <w:t>February</w:t>
      </w:r>
      <w:r w:rsidRPr="00C61188">
        <w:rPr>
          <w:rFonts w:eastAsiaTheme="minorEastAsia" w:cstheme="minorHAnsi"/>
          <w:sz w:val="24"/>
          <w:szCs w:val="24"/>
          <w:lang w:val="en-US"/>
        </w:rPr>
        <w:t xml:space="preserve"> 202</w:t>
      </w:r>
      <w:r w:rsidR="00C71EF2" w:rsidRPr="00C61188">
        <w:rPr>
          <w:rFonts w:eastAsiaTheme="minorEastAsia" w:cstheme="minorHAnsi"/>
          <w:sz w:val="24"/>
          <w:szCs w:val="24"/>
          <w:lang w:val="en-US"/>
        </w:rPr>
        <w:t>2</w:t>
      </w:r>
      <w:r w:rsidRPr="00C61188">
        <w:rPr>
          <w:rFonts w:eastAsiaTheme="minorEastAsia" w:cstheme="minorHAnsi"/>
          <w:sz w:val="24"/>
          <w:szCs w:val="24"/>
          <w:lang w:val="en-US"/>
        </w:rPr>
        <w:t xml:space="preserve"> prices increased by 1</w:t>
      </w:r>
      <w:r w:rsidR="00C71EF2" w:rsidRPr="00C61188">
        <w:rPr>
          <w:rFonts w:eastAsiaTheme="minorEastAsia" w:cstheme="minorHAnsi"/>
          <w:sz w:val="24"/>
          <w:szCs w:val="24"/>
          <w:lang w:val="en-US"/>
        </w:rPr>
        <w:t>22.1</w:t>
      </w:r>
      <w:r w:rsidRPr="00C61188">
        <w:rPr>
          <w:rFonts w:eastAsiaTheme="minorEastAsia" w:cstheme="minorHAnsi"/>
          <w:sz w:val="24"/>
          <w:szCs w:val="24"/>
          <w:lang w:val="en-US"/>
        </w:rPr>
        <w:t xml:space="preserve"> per cent.</w:t>
      </w:r>
      <w:r w:rsidRPr="00C61188">
        <w:rPr>
          <w:rFonts w:cstheme="minorHAnsi"/>
          <w:sz w:val="24"/>
          <w:szCs w:val="24"/>
          <w:lang w:val="en-US"/>
        </w:rPr>
        <w:t xml:space="preserve"> </w:t>
      </w:r>
    </w:p>
    <w:p w14:paraId="4EC80577" w14:textId="77777777" w:rsidR="00C71EF2" w:rsidRPr="00C61188" w:rsidRDefault="00E413E9" w:rsidP="007F2366">
      <w:pPr>
        <w:pStyle w:val="ListParagraph"/>
        <w:numPr>
          <w:ilvl w:val="0"/>
          <w:numId w:val="10"/>
        </w:numPr>
        <w:spacing w:after="0" w:line="240" w:lineRule="auto"/>
        <w:jc w:val="both"/>
        <w:rPr>
          <w:rFonts w:eastAsiaTheme="minorEastAsia" w:cstheme="minorHAnsi"/>
          <w:sz w:val="24"/>
          <w:szCs w:val="24"/>
          <w:lang w:val="en-US"/>
        </w:rPr>
      </w:pPr>
      <w:r w:rsidRPr="00C61188">
        <w:rPr>
          <w:rFonts w:cstheme="minorHAnsi"/>
          <w:sz w:val="24"/>
          <w:szCs w:val="24"/>
          <w:lang w:val="en-US"/>
        </w:rPr>
        <w:t xml:space="preserve">Prices in </w:t>
      </w:r>
      <w:r w:rsidR="00C71EF2" w:rsidRPr="00C61188">
        <w:rPr>
          <w:rFonts w:cstheme="minorHAnsi"/>
          <w:sz w:val="24"/>
          <w:szCs w:val="24"/>
          <w:lang w:val="en-US"/>
        </w:rPr>
        <w:t>February</w:t>
      </w:r>
      <w:r w:rsidRPr="00C61188">
        <w:rPr>
          <w:rFonts w:cstheme="minorHAnsi"/>
          <w:sz w:val="24"/>
          <w:szCs w:val="24"/>
          <w:lang w:val="en-US"/>
        </w:rPr>
        <w:t xml:space="preserve"> 202</w:t>
      </w:r>
      <w:r w:rsidR="00C71EF2" w:rsidRPr="00C61188">
        <w:rPr>
          <w:rFonts w:cstheme="minorHAnsi"/>
          <w:sz w:val="24"/>
          <w:szCs w:val="24"/>
          <w:lang w:val="en-US"/>
        </w:rPr>
        <w:t>2</w:t>
      </w:r>
      <w:r w:rsidRPr="00C61188">
        <w:rPr>
          <w:rFonts w:cstheme="minorHAnsi"/>
          <w:sz w:val="24"/>
          <w:szCs w:val="24"/>
          <w:lang w:val="en-US"/>
        </w:rPr>
        <w:t xml:space="preserve"> were 1</w:t>
      </w:r>
      <w:r w:rsidR="00C71EF2" w:rsidRPr="00C61188">
        <w:rPr>
          <w:rFonts w:cstheme="minorHAnsi"/>
          <w:sz w:val="24"/>
          <w:szCs w:val="24"/>
          <w:lang w:val="en-US"/>
        </w:rPr>
        <w:t>3.5</w:t>
      </w:r>
      <w:r w:rsidRPr="00C61188">
        <w:rPr>
          <w:rFonts w:cstheme="minorHAnsi"/>
          <w:sz w:val="24"/>
          <w:szCs w:val="24"/>
          <w:lang w:val="en-US"/>
        </w:rPr>
        <w:t xml:space="preserve"> per cent higher than a year earlier.</w:t>
      </w:r>
    </w:p>
    <w:p w14:paraId="4AC8ABA3" w14:textId="21FA1870" w:rsidR="00E413E9" w:rsidRPr="00C61188" w:rsidRDefault="00C71EF2" w:rsidP="007F2366">
      <w:pPr>
        <w:pStyle w:val="ListParagraph"/>
        <w:numPr>
          <w:ilvl w:val="0"/>
          <w:numId w:val="10"/>
        </w:numPr>
        <w:spacing w:after="0" w:line="240" w:lineRule="auto"/>
        <w:jc w:val="both"/>
        <w:rPr>
          <w:rFonts w:eastAsiaTheme="minorEastAsia" w:cstheme="minorHAnsi"/>
          <w:sz w:val="24"/>
          <w:szCs w:val="24"/>
          <w:lang w:val="en-US"/>
        </w:rPr>
      </w:pPr>
      <w:r w:rsidRPr="00C61188">
        <w:rPr>
          <w:rFonts w:cstheme="minorHAnsi"/>
          <w:sz w:val="24"/>
          <w:szCs w:val="24"/>
          <w:lang w:val="en-US"/>
        </w:rPr>
        <w:t>The national average residential property price in Dublin in February 2022 was 10.3 per cent lower</w:t>
      </w:r>
      <w:r w:rsidR="00E413E9" w:rsidRPr="00C61188">
        <w:rPr>
          <w:rFonts w:eastAsiaTheme="minorEastAsia" w:cstheme="minorHAnsi"/>
          <w:sz w:val="24"/>
          <w:szCs w:val="24"/>
          <w:lang w:val="en-US"/>
        </w:rPr>
        <w:t xml:space="preserve"> than the February 2007 peak.</w:t>
      </w:r>
    </w:p>
    <w:p w14:paraId="0F6D5B6B" w14:textId="77777777" w:rsidR="00E413E9" w:rsidRPr="00E413E9" w:rsidRDefault="00E413E9" w:rsidP="007F2366">
      <w:pPr>
        <w:spacing w:after="0" w:line="240" w:lineRule="auto"/>
        <w:ind w:left="720"/>
        <w:contextualSpacing/>
        <w:jc w:val="both"/>
        <w:rPr>
          <w:sz w:val="24"/>
          <w:szCs w:val="24"/>
        </w:rPr>
      </w:pPr>
    </w:p>
    <w:p w14:paraId="0C40AD29" w14:textId="78C7DAF0" w:rsidR="00E413E9" w:rsidRDefault="00C61188" w:rsidP="007F2366">
      <w:pPr>
        <w:spacing w:after="0" w:line="240" w:lineRule="auto"/>
        <w:contextualSpacing/>
        <w:jc w:val="both"/>
        <w:rPr>
          <w:b/>
          <w:bCs/>
          <w:sz w:val="28"/>
          <w:szCs w:val="28"/>
        </w:rPr>
      </w:pPr>
      <w:r w:rsidRPr="001B2BAD">
        <w:rPr>
          <w:b/>
          <w:bCs/>
          <w:sz w:val="28"/>
          <w:szCs w:val="28"/>
        </w:rPr>
        <w:t>MORTGAGE LENDING ACTIVITY</w:t>
      </w:r>
    </w:p>
    <w:p w14:paraId="26272B57" w14:textId="47B66FB6" w:rsidR="006038AA" w:rsidRDefault="006038AA" w:rsidP="007F2366">
      <w:pPr>
        <w:spacing w:after="0" w:line="240" w:lineRule="auto"/>
        <w:contextualSpacing/>
        <w:jc w:val="both"/>
        <w:rPr>
          <w:b/>
          <w:bCs/>
          <w:sz w:val="28"/>
          <w:szCs w:val="28"/>
        </w:rPr>
      </w:pPr>
    </w:p>
    <w:p w14:paraId="3EB9B9B7" w14:textId="60C71F92" w:rsidR="006038AA" w:rsidRPr="00345487" w:rsidRDefault="006038AA" w:rsidP="007F2366">
      <w:pPr>
        <w:jc w:val="both"/>
        <w:rPr>
          <w:sz w:val="24"/>
          <w:szCs w:val="24"/>
        </w:rPr>
      </w:pPr>
      <w:r w:rsidRPr="00345487">
        <w:rPr>
          <w:sz w:val="24"/>
          <w:szCs w:val="24"/>
        </w:rPr>
        <w:t xml:space="preserve">The value of mortgages drawn down peaked at €39.9 billion in 2008 and then fell heavily to bottom out at just €2.46 billion in 2011. It has subsequently expanded </w:t>
      </w:r>
      <w:r>
        <w:rPr>
          <w:sz w:val="24"/>
          <w:szCs w:val="24"/>
        </w:rPr>
        <w:t xml:space="preserve">on a gradual basis. In 2021, mortgage lending totalled €10.5 billion, which is the highest level since 2008.  </w:t>
      </w:r>
    </w:p>
    <w:p w14:paraId="76168522" w14:textId="02FC1FF1" w:rsidR="006038AA" w:rsidRPr="00345487" w:rsidRDefault="006038AA" w:rsidP="007F2366">
      <w:pPr>
        <w:jc w:val="both"/>
        <w:rPr>
          <w:b/>
          <w:bCs/>
          <w:sz w:val="24"/>
          <w:szCs w:val="24"/>
        </w:rPr>
      </w:pPr>
      <w:r w:rsidRPr="00345487">
        <w:rPr>
          <w:b/>
          <w:bCs/>
          <w:sz w:val="24"/>
          <w:szCs w:val="24"/>
        </w:rPr>
        <w:t xml:space="preserve">Figure </w:t>
      </w:r>
      <w:r>
        <w:rPr>
          <w:b/>
          <w:bCs/>
          <w:sz w:val="24"/>
          <w:szCs w:val="24"/>
        </w:rPr>
        <w:t>2</w:t>
      </w:r>
      <w:r w:rsidRPr="00345487">
        <w:rPr>
          <w:b/>
          <w:bCs/>
          <w:sz w:val="24"/>
          <w:szCs w:val="24"/>
        </w:rPr>
        <w:t>: Value of Mortgages Drawn Down</w:t>
      </w:r>
    </w:p>
    <w:p w14:paraId="58FE5985" w14:textId="2A43A50D" w:rsidR="006038AA" w:rsidRPr="00345487" w:rsidRDefault="006038AA" w:rsidP="007F2366">
      <w:pPr>
        <w:jc w:val="both"/>
        <w:rPr>
          <w:b/>
          <w:bCs/>
          <w:sz w:val="24"/>
          <w:szCs w:val="24"/>
        </w:rPr>
      </w:pPr>
      <w:r>
        <w:rPr>
          <w:noProof/>
        </w:rPr>
        <w:drawing>
          <wp:inline distT="0" distB="0" distL="0" distR="0" wp14:anchorId="001FAD15" wp14:editId="7451D6B6">
            <wp:extent cx="5731510" cy="2461260"/>
            <wp:effectExtent l="0" t="0" r="2540" b="15240"/>
            <wp:docPr id="7" name="Chart 7">
              <a:extLst xmlns:a="http://schemas.openxmlformats.org/drawingml/2006/main">
                <a:ext uri="{FF2B5EF4-FFF2-40B4-BE49-F238E27FC236}">
                  <a16:creationId xmlns:a16="http://schemas.microsoft.com/office/drawing/2014/main" id="{4F6A64FC-39B9-45F4-9BD6-578F5FDB9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BD1A02" w14:textId="77777777" w:rsidR="006038AA" w:rsidRPr="00345487" w:rsidRDefault="006038AA" w:rsidP="007F2366">
      <w:pPr>
        <w:jc w:val="both"/>
        <w:rPr>
          <w:sz w:val="24"/>
          <w:szCs w:val="24"/>
        </w:rPr>
      </w:pPr>
      <w:r w:rsidRPr="00345487">
        <w:rPr>
          <w:sz w:val="24"/>
          <w:szCs w:val="24"/>
        </w:rPr>
        <w:t>Source: BPFI</w:t>
      </w:r>
    </w:p>
    <w:p w14:paraId="619B9EA2" w14:textId="63D7A1E6" w:rsidR="006038AA" w:rsidRPr="00345487" w:rsidRDefault="006038AA" w:rsidP="007F2366">
      <w:pPr>
        <w:jc w:val="both"/>
        <w:rPr>
          <w:sz w:val="24"/>
          <w:szCs w:val="24"/>
        </w:rPr>
      </w:pPr>
      <w:r w:rsidRPr="00345487">
        <w:rPr>
          <w:sz w:val="24"/>
          <w:szCs w:val="24"/>
        </w:rPr>
        <w:lastRenderedPageBreak/>
        <w:t xml:space="preserve">Table </w:t>
      </w:r>
      <w:r>
        <w:rPr>
          <w:sz w:val="24"/>
          <w:szCs w:val="24"/>
        </w:rPr>
        <w:t>1</w:t>
      </w:r>
      <w:r w:rsidRPr="00345487">
        <w:rPr>
          <w:sz w:val="24"/>
          <w:szCs w:val="24"/>
        </w:rPr>
        <w:t xml:space="preserve"> shows the evolution of the mortgage market by borrower component between 2006 and </w:t>
      </w:r>
      <w:r>
        <w:rPr>
          <w:sz w:val="24"/>
          <w:szCs w:val="24"/>
        </w:rPr>
        <w:t>2021</w:t>
      </w:r>
      <w:r w:rsidRPr="00345487">
        <w:rPr>
          <w:sz w:val="24"/>
          <w:szCs w:val="24"/>
        </w:rPr>
        <w:t xml:space="preserve">. In 2006, </w:t>
      </w:r>
      <w:r w:rsidR="008F3CCE">
        <w:rPr>
          <w:sz w:val="24"/>
          <w:szCs w:val="24"/>
        </w:rPr>
        <w:t>Residential Investment Letting (RIL)</w:t>
      </w:r>
      <w:r w:rsidRPr="00345487">
        <w:rPr>
          <w:sz w:val="24"/>
          <w:szCs w:val="24"/>
        </w:rPr>
        <w:t xml:space="preserve"> accounted for </w:t>
      </w:r>
      <w:r>
        <w:rPr>
          <w:sz w:val="24"/>
          <w:szCs w:val="24"/>
        </w:rPr>
        <w:t>19.9</w:t>
      </w:r>
      <w:r w:rsidRPr="00345487">
        <w:rPr>
          <w:sz w:val="24"/>
          <w:szCs w:val="24"/>
        </w:rPr>
        <w:t xml:space="preserve"> per cent of total mortgage lending at €7.9 billion. In 20</w:t>
      </w:r>
      <w:r>
        <w:rPr>
          <w:sz w:val="24"/>
          <w:szCs w:val="24"/>
        </w:rPr>
        <w:t>21</w:t>
      </w:r>
      <w:r w:rsidRPr="00345487">
        <w:rPr>
          <w:sz w:val="24"/>
          <w:szCs w:val="24"/>
        </w:rPr>
        <w:t>, investors accounted for just 1.</w:t>
      </w:r>
      <w:r>
        <w:rPr>
          <w:sz w:val="24"/>
          <w:szCs w:val="24"/>
        </w:rPr>
        <w:t>4</w:t>
      </w:r>
      <w:r w:rsidRPr="00345487">
        <w:rPr>
          <w:sz w:val="24"/>
          <w:szCs w:val="24"/>
        </w:rPr>
        <w:t xml:space="preserve"> per cent of the total market at €</w:t>
      </w:r>
      <w:r w:rsidR="00E16A92">
        <w:rPr>
          <w:sz w:val="24"/>
          <w:szCs w:val="24"/>
        </w:rPr>
        <w:t>143</w:t>
      </w:r>
      <w:r w:rsidRPr="00345487">
        <w:rPr>
          <w:sz w:val="24"/>
          <w:szCs w:val="24"/>
        </w:rPr>
        <w:t xml:space="preserve"> million. </w:t>
      </w:r>
      <w:r>
        <w:rPr>
          <w:sz w:val="24"/>
          <w:szCs w:val="24"/>
        </w:rPr>
        <w:t>First-time buyers represent the most significant component of the overall market.</w:t>
      </w:r>
    </w:p>
    <w:p w14:paraId="2A2199E0" w14:textId="39D80283" w:rsidR="006038AA" w:rsidRPr="00345487" w:rsidRDefault="006038AA" w:rsidP="007F2366">
      <w:pPr>
        <w:jc w:val="both"/>
        <w:rPr>
          <w:b/>
          <w:bCs/>
          <w:sz w:val="24"/>
          <w:szCs w:val="24"/>
        </w:rPr>
      </w:pPr>
      <w:r w:rsidRPr="00345487">
        <w:rPr>
          <w:b/>
          <w:bCs/>
          <w:sz w:val="24"/>
          <w:szCs w:val="24"/>
        </w:rPr>
        <w:t xml:space="preserve">Table </w:t>
      </w:r>
      <w:r>
        <w:rPr>
          <w:b/>
          <w:bCs/>
          <w:sz w:val="24"/>
          <w:szCs w:val="24"/>
        </w:rPr>
        <w:t>1</w:t>
      </w:r>
      <w:r w:rsidRPr="00345487">
        <w:rPr>
          <w:b/>
          <w:bCs/>
          <w:sz w:val="24"/>
          <w:szCs w:val="24"/>
        </w:rPr>
        <w:t>: Value of Mortgages Drawn Down by Component 2006 v</w:t>
      </w:r>
      <w:r w:rsidR="00107CED">
        <w:rPr>
          <w:b/>
          <w:bCs/>
          <w:sz w:val="24"/>
          <w:szCs w:val="24"/>
        </w:rPr>
        <w:t xml:space="preserve"> </w:t>
      </w:r>
      <w:r>
        <w:rPr>
          <w:b/>
          <w:bCs/>
          <w:sz w:val="24"/>
          <w:szCs w:val="24"/>
        </w:rPr>
        <w:t>2021</w:t>
      </w:r>
    </w:p>
    <w:tbl>
      <w:tblPr>
        <w:tblStyle w:val="GridTable4-Accent13"/>
        <w:tblW w:w="9067" w:type="dxa"/>
        <w:tblLook w:val="04A0" w:firstRow="1" w:lastRow="0" w:firstColumn="1" w:lastColumn="0" w:noHBand="0" w:noVBand="1"/>
      </w:tblPr>
      <w:tblGrid>
        <w:gridCol w:w="2689"/>
        <w:gridCol w:w="1559"/>
        <w:gridCol w:w="1417"/>
        <w:gridCol w:w="1276"/>
        <w:gridCol w:w="2126"/>
      </w:tblGrid>
      <w:tr w:rsidR="006038AA" w:rsidRPr="00345487" w14:paraId="5980EE30" w14:textId="77777777" w:rsidTr="00E16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618E4DD" w14:textId="77777777" w:rsidR="006038AA" w:rsidRPr="00345487" w:rsidRDefault="006038AA" w:rsidP="007F2366">
            <w:pPr>
              <w:spacing w:after="160" w:line="259" w:lineRule="auto"/>
              <w:jc w:val="both"/>
              <w:rPr>
                <w:color w:val="auto"/>
                <w:sz w:val="24"/>
                <w:szCs w:val="24"/>
              </w:rPr>
            </w:pPr>
          </w:p>
        </w:tc>
        <w:tc>
          <w:tcPr>
            <w:tcW w:w="1559" w:type="dxa"/>
          </w:tcPr>
          <w:p w14:paraId="6410DEDB" w14:textId="77777777" w:rsidR="006038AA" w:rsidRPr="00B025B5" w:rsidRDefault="006038AA" w:rsidP="007F2366">
            <w:pPr>
              <w:spacing w:after="160" w:line="259" w:lineRule="auto"/>
              <w:jc w:val="both"/>
              <w:cnfStyle w:val="100000000000" w:firstRow="1" w:lastRow="0" w:firstColumn="0" w:lastColumn="0" w:oddVBand="0" w:evenVBand="0" w:oddHBand="0" w:evenHBand="0" w:firstRowFirstColumn="0" w:firstRowLastColumn="0" w:lastRowFirstColumn="0" w:lastRowLastColumn="0"/>
              <w:rPr>
                <w:color w:val="auto"/>
                <w:sz w:val="24"/>
                <w:szCs w:val="24"/>
              </w:rPr>
            </w:pPr>
            <w:r w:rsidRPr="00B025B5">
              <w:rPr>
                <w:color w:val="auto"/>
                <w:sz w:val="24"/>
                <w:szCs w:val="24"/>
              </w:rPr>
              <w:t>2006</w:t>
            </w:r>
          </w:p>
        </w:tc>
        <w:tc>
          <w:tcPr>
            <w:tcW w:w="1417" w:type="dxa"/>
          </w:tcPr>
          <w:p w14:paraId="764258F6" w14:textId="77777777" w:rsidR="006038AA" w:rsidRPr="00B025B5" w:rsidRDefault="006038AA" w:rsidP="007F2366">
            <w:pPr>
              <w:spacing w:after="160" w:line="259" w:lineRule="auto"/>
              <w:jc w:val="both"/>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1276" w:type="dxa"/>
          </w:tcPr>
          <w:p w14:paraId="214106F2" w14:textId="362A9712" w:rsidR="006038AA" w:rsidRPr="00B025B5" w:rsidRDefault="006038AA" w:rsidP="007F2366">
            <w:pPr>
              <w:jc w:val="both"/>
              <w:cnfStyle w:val="100000000000" w:firstRow="1" w:lastRow="0" w:firstColumn="0" w:lastColumn="0" w:oddVBand="0" w:evenVBand="0" w:oddHBand="0" w:evenHBand="0" w:firstRowFirstColumn="0" w:firstRowLastColumn="0" w:lastRowFirstColumn="0" w:lastRowLastColumn="0"/>
              <w:rPr>
                <w:color w:val="auto"/>
                <w:sz w:val="24"/>
                <w:szCs w:val="24"/>
              </w:rPr>
            </w:pPr>
            <w:r>
              <w:rPr>
                <w:color w:val="auto"/>
                <w:sz w:val="24"/>
                <w:szCs w:val="24"/>
              </w:rPr>
              <w:t>2021</w:t>
            </w:r>
          </w:p>
        </w:tc>
        <w:tc>
          <w:tcPr>
            <w:tcW w:w="2126" w:type="dxa"/>
          </w:tcPr>
          <w:p w14:paraId="56B42F21" w14:textId="77777777" w:rsidR="006038AA" w:rsidRPr="00B025B5" w:rsidRDefault="006038AA" w:rsidP="007F2366">
            <w:pPr>
              <w:jc w:val="both"/>
              <w:cnfStyle w:val="100000000000" w:firstRow="1" w:lastRow="0" w:firstColumn="0" w:lastColumn="0" w:oddVBand="0" w:evenVBand="0" w:oddHBand="0" w:evenHBand="0" w:firstRowFirstColumn="0" w:firstRowLastColumn="0" w:lastRowFirstColumn="0" w:lastRowLastColumn="0"/>
              <w:rPr>
                <w:color w:val="auto"/>
                <w:sz w:val="24"/>
                <w:szCs w:val="24"/>
              </w:rPr>
            </w:pPr>
          </w:p>
        </w:tc>
      </w:tr>
      <w:tr w:rsidR="006038AA" w:rsidRPr="00345487" w14:paraId="772E56D6" w14:textId="77777777" w:rsidTr="00E16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23E822D" w14:textId="77777777" w:rsidR="006038AA" w:rsidRPr="00345487" w:rsidRDefault="006038AA" w:rsidP="007F2366">
            <w:pPr>
              <w:spacing w:after="160" w:line="259" w:lineRule="auto"/>
              <w:jc w:val="both"/>
              <w:rPr>
                <w:b w:val="0"/>
                <w:bCs w:val="0"/>
                <w:sz w:val="24"/>
                <w:szCs w:val="24"/>
              </w:rPr>
            </w:pPr>
          </w:p>
        </w:tc>
        <w:tc>
          <w:tcPr>
            <w:tcW w:w="1559" w:type="dxa"/>
          </w:tcPr>
          <w:p w14:paraId="7314D0E9" w14:textId="77777777" w:rsidR="006038AA" w:rsidRPr="00345487" w:rsidRDefault="006038AA" w:rsidP="007F2366">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345487">
              <w:rPr>
                <w:sz w:val="24"/>
                <w:szCs w:val="24"/>
              </w:rPr>
              <w:t>€m</w:t>
            </w:r>
          </w:p>
        </w:tc>
        <w:tc>
          <w:tcPr>
            <w:tcW w:w="1417" w:type="dxa"/>
          </w:tcPr>
          <w:p w14:paraId="009F6F50" w14:textId="77777777" w:rsidR="006038AA" w:rsidRPr="00345487" w:rsidRDefault="006038AA" w:rsidP="007F2366">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345487">
              <w:rPr>
                <w:sz w:val="24"/>
                <w:szCs w:val="24"/>
              </w:rPr>
              <w:t>%</w:t>
            </w:r>
          </w:p>
        </w:tc>
        <w:tc>
          <w:tcPr>
            <w:tcW w:w="1276" w:type="dxa"/>
          </w:tcPr>
          <w:p w14:paraId="507D600B" w14:textId="77777777" w:rsidR="006038AA" w:rsidRPr="00345487" w:rsidRDefault="006038AA" w:rsidP="007F2366">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w:t>
            </w:r>
          </w:p>
        </w:tc>
        <w:tc>
          <w:tcPr>
            <w:tcW w:w="2126" w:type="dxa"/>
          </w:tcPr>
          <w:p w14:paraId="74DA5651" w14:textId="77777777" w:rsidR="006038AA" w:rsidRPr="00345487" w:rsidRDefault="006038AA" w:rsidP="007F2366">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6038AA" w:rsidRPr="00345487" w14:paraId="09BE7D13" w14:textId="77777777" w:rsidTr="00E16A92">
        <w:tc>
          <w:tcPr>
            <w:cnfStyle w:val="001000000000" w:firstRow="0" w:lastRow="0" w:firstColumn="1" w:lastColumn="0" w:oddVBand="0" w:evenVBand="0" w:oddHBand="0" w:evenHBand="0" w:firstRowFirstColumn="0" w:firstRowLastColumn="0" w:lastRowFirstColumn="0" w:lastRowLastColumn="0"/>
            <w:tcW w:w="2689" w:type="dxa"/>
          </w:tcPr>
          <w:p w14:paraId="47C641DC" w14:textId="77777777" w:rsidR="006038AA" w:rsidRPr="00345487" w:rsidRDefault="006038AA" w:rsidP="007F2366">
            <w:pPr>
              <w:spacing w:after="160" w:line="259" w:lineRule="auto"/>
              <w:jc w:val="both"/>
              <w:rPr>
                <w:b w:val="0"/>
                <w:bCs w:val="0"/>
                <w:sz w:val="24"/>
                <w:szCs w:val="24"/>
              </w:rPr>
            </w:pPr>
            <w:r w:rsidRPr="00345487">
              <w:rPr>
                <w:b w:val="0"/>
                <w:bCs w:val="0"/>
                <w:sz w:val="24"/>
                <w:szCs w:val="24"/>
              </w:rPr>
              <w:t>First Time Buyer</w:t>
            </w:r>
          </w:p>
        </w:tc>
        <w:tc>
          <w:tcPr>
            <w:tcW w:w="1559" w:type="dxa"/>
          </w:tcPr>
          <w:p w14:paraId="1BD960FA" w14:textId="77777777" w:rsidR="006038AA" w:rsidRPr="00345487" w:rsidRDefault="006038AA" w:rsidP="007F2366">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345487">
              <w:rPr>
                <w:sz w:val="24"/>
                <w:szCs w:val="24"/>
              </w:rPr>
              <w:t>8,449</w:t>
            </w:r>
          </w:p>
        </w:tc>
        <w:tc>
          <w:tcPr>
            <w:tcW w:w="1417" w:type="dxa"/>
          </w:tcPr>
          <w:p w14:paraId="7D6A184E" w14:textId="77777777" w:rsidR="006038AA" w:rsidRPr="00345487" w:rsidRDefault="006038AA" w:rsidP="007F2366">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345487">
              <w:rPr>
                <w:sz w:val="24"/>
                <w:szCs w:val="24"/>
              </w:rPr>
              <w:t>21.2%</w:t>
            </w:r>
          </w:p>
        </w:tc>
        <w:tc>
          <w:tcPr>
            <w:tcW w:w="1276" w:type="dxa"/>
          </w:tcPr>
          <w:p w14:paraId="16B044E0" w14:textId="0BA58D3E" w:rsidR="006038AA" w:rsidRPr="00345487" w:rsidRDefault="00E16A92" w:rsidP="007F2366">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5,493</w:t>
            </w:r>
          </w:p>
        </w:tc>
        <w:tc>
          <w:tcPr>
            <w:tcW w:w="2126" w:type="dxa"/>
          </w:tcPr>
          <w:p w14:paraId="034F06A4" w14:textId="3D4F5D20" w:rsidR="006038AA" w:rsidRPr="00345487" w:rsidRDefault="006038AA" w:rsidP="007F2366">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r w:rsidR="00E16A92">
              <w:rPr>
                <w:sz w:val="24"/>
                <w:szCs w:val="24"/>
              </w:rPr>
              <w:t>2.5</w:t>
            </w:r>
            <w:r>
              <w:rPr>
                <w:sz w:val="24"/>
                <w:szCs w:val="24"/>
              </w:rPr>
              <w:t>%</w:t>
            </w:r>
          </w:p>
        </w:tc>
      </w:tr>
      <w:tr w:rsidR="006038AA" w:rsidRPr="00345487" w14:paraId="6C07FFE2" w14:textId="77777777" w:rsidTr="00E16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BD0FDEB" w14:textId="77777777" w:rsidR="006038AA" w:rsidRPr="00345487" w:rsidRDefault="006038AA" w:rsidP="007F2366">
            <w:pPr>
              <w:spacing w:after="160" w:line="259" w:lineRule="auto"/>
              <w:jc w:val="both"/>
              <w:rPr>
                <w:b w:val="0"/>
                <w:bCs w:val="0"/>
                <w:sz w:val="24"/>
                <w:szCs w:val="24"/>
              </w:rPr>
            </w:pPr>
            <w:r w:rsidRPr="00345487">
              <w:rPr>
                <w:b w:val="0"/>
                <w:bCs w:val="0"/>
                <w:sz w:val="24"/>
                <w:szCs w:val="24"/>
              </w:rPr>
              <w:t>Mover Purchase</w:t>
            </w:r>
          </w:p>
        </w:tc>
        <w:tc>
          <w:tcPr>
            <w:tcW w:w="1559" w:type="dxa"/>
          </w:tcPr>
          <w:p w14:paraId="4BAA2429" w14:textId="77777777" w:rsidR="006038AA" w:rsidRPr="00345487" w:rsidRDefault="006038AA" w:rsidP="007F2366">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345487">
              <w:rPr>
                <w:sz w:val="24"/>
                <w:szCs w:val="24"/>
              </w:rPr>
              <w:t>11,367</w:t>
            </w:r>
          </w:p>
        </w:tc>
        <w:tc>
          <w:tcPr>
            <w:tcW w:w="1417" w:type="dxa"/>
          </w:tcPr>
          <w:p w14:paraId="593A16EE" w14:textId="77777777" w:rsidR="006038AA" w:rsidRPr="00345487" w:rsidRDefault="006038AA" w:rsidP="007F2366">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345487">
              <w:rPr>
                <w:sz w:val="24"/>
                <w:szCs w:val="24"/>
              </w:rPr>
              <w:t>28.5%</w:t>
            </w:r>
          </w:p>
        </w:tc>
        <w:tc>
          <w:tcPr>
            <w:tcW w:w="1276" w:type="dxa"/>
          </w:tcPr>
          <w:p w14:paraId="6C9804A0" w14:textId="40318A13" w:rsidR="006038AA" w:rsidRPr="00345487" w:rsidRDefault="00E16A92" w:rsidP="007F2366">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2,982</w:t>
            </w:r>
          </w:p>
        </w:tc>
        <w:tc>
          <w:tcPr>
            <w:tcW w:w="2126" w:type="dxa"/>
          </w:tcPr>
          <w:p w14:paraId="1EF65AD9" w14:textId="7454B7F8" w:rsidR="006038AA" w:rsidRPr="00345487" w:rsidRDefault="006038AA" w:rsidP="007F2366">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r w:rsidR="00E16A92">
              <w:rPr>
                <w:sz w:val="24"/>
                <w:szCs w:val="24"/>
              </w:rPr>
              <w:t>8.5</w:t>
            </w:r>
            <w:r>
              <w:rPr>
                <w:sz w:val="24"/>
                <w:szCs w:val="24"/>
              </w:rPr>
              <w:t>%</w:t>
            </w:r>
          </w:p>
        </w:tc>
      </w:tr>
      <w:tr w:rsidR="006038AA" w:rsidRPr="00345487" w14:paraId="7F1F5CCC" w14:textId="77777777" w:rsidTr="00E16A92">
        <w:tc>
          <w:tcPr>
            <w:cnfStyle w:val="001000000000" w:firstRow="0" w:lastRow="0" w:firstColumn="1" w:lastColumn="0" w:oddVBand="0" w:evenVBand="0" w:oddHBand="0" w:evenHBand="0" w:firstRowFirstColumn="0" w:firstRowLastColumn="0" w:lastRowFirstColumn="0" w:lastRowLastColumn="0"/>
            <w:tcW w:w="2689" w:type="dxa"/>
          </w:tcPr>
          <w:p w14:paraId="09F08521" w14:textId="77777777" w:rsidR="006038AA" w:rsidRPr="00345487" w:rsidRDefault="006038AA" w:rsidP="007F2366">
            <w:pPr>
              <w:spacing w:after="160" w:line="259" w:lineRule="auto"/>
              <w:jc w:val="both"/>
              <w:rPr>
                <w:b w:val="0"/>
                <w:bCs w:val="0"/>
                <w:sz w:val="24"/>
                <w:szCs w:val="24"/>
              </w:rPr>
            </w:pPr>
            <w:r w:rsidRPr="00345487">
              <w:rPr>
                <w:b w:val="0"/>
                <w:bCs w:val="0"/>
                <w:sz w:val="24"/>
                <w:szCs w:val="24"/>
              </w:rPr>
              <w:t>RIL</w:t>
            </w:r>
          </w:p>
        </w:tc>
        <w:tc>
          <w:tcPr>
            <w:tcW w:w="1559" w:type="dxa"/>
          </w:tcPr>
          <w:p w14:paraId="6B2FF88F" w14:textId="77777777" w:rsidR="006038AA" w:rsidRPr="00345487" w:rsidRDefault="006038AA" w:rsidP="007F2366">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345487">
              <w:rPr>
                <w:sz w:val="24"/>
                <w:szCs w:val="24"/>
              </w:rPr>
              <w:t>7,950</w:t>
            </w:r>
          </w:p>
        </w:tc>
        <w:tc>
          <w:tcPr>
            <w:tcW w:w="1417" w:type="dxa"/>
          </w:tcPr>
          <w:p w14:paraId="2A5F8148" w14:textId="77777777" w:rsidR="006038AA" w:rsidRPr="00345487" w:rsidRDefault="006038AA" w:rsidP="007F2366">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345487">
              <w:rPr>
                <w:sz w:val="24"/>
                <w:szCs w:val="24"/>
              </w:rPr>
              <w:t>19.9%</w:t>
            </w:r>
          </w:p>
        </w:tc>
        <w:tc>
          <w:tcPr>
            <w:tcW w:w="1276" w:type="dxa"/>
          </w:tcPr>
          <w:p w14:paraId="372AC8F7" w14:textId="541BDE3C" w:rsidR="006038AA" w:rsidRPr="00345487" w:rsidRDefault="00E16A92" w:rsidP="007F2366">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143</w:t>
            </w:r>
          </w:p>
        </w:tc>
        <w:tc>
          <w:tcPr>
            <w:tcW w:w="2126" w:type="dxa"/>
          </w:tcPr>
          <w:p w14:paraId="7F6C7708" w14:textId="5877F85D" w:rsidR="006038AA" w:rsidRPr="00345487" w:rsidRDefault="00E16A92" w:rsidP="007F2366">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1.4</w:t>
            </w:r>
            <w:r w:rsidR="006038AA">
              <w:rPr>
                <w:sz w:val="24"/>
                <w:szCs w:val="24"/>
              </w:rPr>
              <w:t>%</w:t>
            </w:r>
          </w:p>
        </w:tc>
      </w:tr>
      <w:tr w:rsidR="006038AA" w:rsidRPr="00345487" w14:paraId="4DF95618" w14:textId="77777777" w:rsidTr="00E16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137F7B7" w14:textId="77777777" w:rsidR="006038AA" w:rsidRPr="00345487" w:rsidRDefault="006038AA" w:rsidP="007F2366">
            <w:pPr>
              <w:spacing w:after="160" w:line="259" w:lineRule="auto"/>
              <w:jc w:val="both"/>
              <w:rPr>
                <w:b w:val="0"/>
                <w:bCs w:val="0"/>
                <w:sz w:val="24"/>
                <w:szCs w:val="24"/>
              </w:rPr>
            </w:pPr>
            <w:r w:rsidRPr="00345487">
              <w:rPr>
                <w:b w:val="0"/>
                <w:bCs w:val="0"/>
                <w:sz w:val="24"/>
                <w:szCs w:val="24"/>
              </w:rPr>
              <w:t>Re-Mortgage/Switching</w:t>
            </w:r>
          </w:p>
        </w:tc>
        <w:tc>
          <w:tcPr>
            <w:tcW w:w="1559" w:type="dxa"/>
          </w:tcPr>
          <w:p w14:paraId="0B272032" w14:textId="77777777" w:rsidR="006038AA" w:rsidRPr="00345487" w:rsidRDefault="006038AA" w:rsidP="007F2366">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345487">
              <w:rPr>
                <w:sz w:val="24"/>
                <w:szCs w:val="24"/>
              </w:rPr>
              <w:t>6,067</w:t>
            </w:r>
          </w:p>
        </w:tc>
        <w:tc>
          <w:tcPr>
            <w:tcW w:w="1417" w:type="dxa"/>
          </w:tcPr>
          <w:p w14:paraId="770AC340" w14:textId="77777777" w:rsidR="006038AA" w:rsidRPr="00345487" w:rsidRDefault="006038AA" w:rsidP="007F2366">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345487">
              <w:rPr>
                <w:sz w:val="24"/>
                <w:szCs w:val="24"/>
              </w:rPr>
              <w:t>15.2%</w:t>
            </w:r>
          </w:p>
        </w:tc>
        <w:tc>
          <w:tcPr>
            <w:tcW w:w="1276" w:type="dxa"/>
          </w:tcPr>
          <w:p w14:paraId="1E210CB1" w14:textId="2B539965" w:rsidR="006038AA" w:rsidRPr="00345487" w:rsidRDefault="00E16A92" w:rsidP="007F2366">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1,615</w:t>
            </w:r>
          </w:p>
        </w:tc>
        <w:tc>
          <w:tcPr>
            <w:tcW w:w="2126" w:type="dxa"/>
          </w:tcPr>
          <w:p w14:paraId="74F09E64" w14:textId="638F65E8" w:rsidR="006038AA" w:rsidRPr="00345487" w:rsidRDefault="00E16A92" w:rsidP="007F2366">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15.4</w:t>
            </w:r>
            <w:r w:rsidR="006038AA">
              <w:rPr>
                <w:sz w:val="24"/>
                <w:szCs w:val="24"/>
              </w:rPr>
              <w:t>%</w:t>
            </w:r>
          </w:p>
        </w:tc>
      </w:tr>
      <w:tr w:rsidR="006038AA" w:rsidRPr="00345487" w14:paraId="1B1F2684" w14:textId="77777777" w:rsidTr="00E16A92">
        <w:tc>
          <w:tcPr>
            <w:cnfStyle w:val="001000000000" w:firstRow="0" w:lastRow="0" w:firstColumn="1" w:lastColumn="0" w:oddVBand="0" w:evenVBand="0" w:oddHBand="0" w:evenHBand="0" w:firstRowFirstColumn="0" w:firstRowLastColumn="0" w:lastRowFirstColumn="0" w:lastRowLastColumn="0"/>
            <w:tcW w:w="2689" w:type="dxa"/>
          </w:tcPr>
          <w:p w14:paraId="7168A29E" w14:textId="77777777" w:rsidR="006038AA" w:rsidRPr="00345487" w:rsidRDefault="006038AA" w:rsidP="007F2366">
            <w:pPr>
              <w:spacing w:after="160" w:line="259" w:lineRule="auto"/>
              <w:jc w:val="both"/>
              <w:rPr>
                <w:b w:val="0"/>
                <w:bCs w:val="0"/>
                <w:sz w:val="24"/>
                <w:szCs w:val="24"/>
              </w:rPr>
            </w:pPr>
            <w:r w:rsidRPr="00345487">
              <w:rPr>
                <w:b w:val="0"/>
                <w:bCs w:val="0"/>
                <w:sz w:val="24"/>
                <w:szCs w:val="24"/>
              </w:rPr>
              <w:t>Top-Up</w:t>
            </w:r>
          </w:p>
        </w:tc>
        <w:tc>
          <w:tcPr>
            <w:tcW w:w="1559" w:type="dxa"/>
          </w:tcPr>
          <w:p w14:paraId="563387AD" w14:textId="77777777" w:rsidR="006038AA" w:rsidRPr="00345487" w:rsidRDefault="006038AA" w:rsidP="007F2366">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345487">
              <w:rPr>
                <w:sz w:val="24"/>
                <w:szCs w:val="24"/>
              </w:rPr>
              <w:t>6,039</w:t>
            </w:r>
          </w:p>
        </w:tc>
        <w:tc>
          <w:tcPr>
            <w:tcW w:w="1417" w:type="dxa"/>
          </w:tcPr>
          <w:p w14:paraId="11E8D07E" w14:textId="77777777" w:rsidR="006038AA" w:rsidRPr="00345487" w:rsidRDefault="006038AA" w:rsidP="007F2366">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345487">
              <w:rPr>
                <w:sz w:val="24"/>
                <w:szCs w:val="24"/>
              </w:rPr>
              <w:t>15.2%</w:t>
            </w:r>
          </w:p>
        </w:tc>
        <w:tc>
          <w:tcPr>
            <w:tcW w:w="1276" w:type="dxa"/>
          </w:tcPr>
          <w:p w14:paraId="72D5D0CA" w14:textId="2535C50C" w:rsidR="006038AA" w:rsidRPr="00345487" w:rsidRDefault="00E16A92" w:rsidP="007F2366">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234</w:t>
            </w:r>
          </w:p>
        </w:tc>
        <w:tc>
          <w:tcPr>
            <w:tcW w:w="2126" w:type="dxa"/>
          </w:tcPr>
          <w:p w14:paraId="0FB7D97C" w14:textId="0A75284F" w:rsidR="006038AA" w:rsidRPr="00345487" w:rsidRDefault="006038AA" w:rsidP="007F2366">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r w:rsidR="00E16A92">
              <w:rPr>
                <w:sz w:val="24"/>
                <w:szCs w:val="24"/>
              </w:rPr>
              <w:t>2</w:t>
            </w:r>
            <w:r>
              <w:rPr>
                <w:sz w:val="24"/>
                <w:szCs w:val="24"/>
              </w:rPr>
              <w:t>%</w:t>
            </w:r>
          </w:p>
        </w:tc>
      </w:tr>
      <w:tr w:rsidR="006038AA" w:rsidRPr="00345487" w14:paraId="26A71D70" w14:textId="77777777" w:rsidTr="00E16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5155FD6" w14:textId="77777777" w:rsidR="006038AA" w:rsidRPr="00345487" w:rsidRDefault="006038AA" w:rsidP="007F2366">
            <w:pPr>
              <w:spacing w:after="160" w:line="259" w:lineRule="auto"/>
              <w:jc w:val="both"/>
              <w:rPr>
                <w:b w:val="0"/>
                <w:bCs w:val="0"/>
                <w:sz w:val="24"/>
                <w:szCs w:val="24"/>
              </w:rPr>
            </w:pPr>
            <w:r w:rsidRPr="00345487">
              <w:rPr>
                <w:b w:val="0"/>
                <w:bCs w:val="0"/>
                <w:sz w:val="24"/>
                <w:szCs w:val="24"/>
              </w:rPr>
              <w:t>Total</w:t>
            </w:r>
          </w:p>
        </w:tc>
        <w:tc>
          <w:tcPr>
            <w:tcW w:w="1559" w:type="dxa"/>
          </w:tcPr>
          <w:p w14:paraId="700A4BF6" w14:textId="77777777" w:rsidR="006038AA" w:rsidRPr="00345487" w:rsidRDefault="006038AA" w:rsidP="007F2366">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345487">
              <w:rPr>
                <w:sz w:val="24"/>
                <w:szCs w:val="24"/>
              </w:rPr>
              <w:t>39,872</w:t>
            </w:r>
          </w:p>
        </w:tc>
        <w:tc>
          <w:tcPr>
            <w:tcW w:w="1417" w:type="dxa"/>
          </w:tcPr>
          <w:p w14:paraId="5611178C" w14:textId="77777777" w:rsidR="006038AA" w:rsidRPr="00345487" w:rsidRDefault="006038AA" w:rsidP="007F2366">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345487">
              <w:rPr>
                <w:sz w:val="24"/>
                <w:szCs w:val="24"/>
              </w:rPr>
              <w:t>100.0%</w:t>
            </w:r>
          </w:p>
        </w:tc>
        <w:tc>
          <w:tcPr>
            <w:tcW w:w="1276" w:type="dxa"/>
          </w:tcPr>
          <w:p w14:paraId="6A31DCDD" w14:textId="679C1BB9" w:rsidR="006038AA" w:rsidRPr="00345487" w:rsidRDefault="00E16A92" w:rsidP="007F2366">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10,467</w:t>
            </w:r>
          </w:p>
        </w:tc>
        <w:tc>
          <w:tcPr>
            <w:tcW w:w="2126" w:type="dxa"/>
          </w:tcPr>
          <w:p w14:paraId="15F3022C" w14:textId="77777777" w:rsidR="006038AA" w:rsidRPr="00345487" w:rsidRDefault="006038AA" w:rsidP="007F2366">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100.0%</w:t>
            </w:r>
          </w:p>
        </w:tc>
      </w:tr>
    </w:tbl>
    <w:p w14:paraId="74212827" w14:textId="77777777" w:rsidR="006038AA" w:rsidRPr="00345487" w:rsidRDefault="006038AA" w:rsidP="007F2366">
      <w:pPr>
        <w:jc w:val="both"/>
        <w:rPr>
          <w:sz w:val="24"/>
          <w:szCs w:val="24"/>
        </w:rPr>
      </w:pPr>
      <w:r w:rsidRPr="00345487">
        <w:rPr>
          <w:sz w:val="24"/>
          <w:szCs w:val="24"/>
        </w:rPr>
        <w:t>Source: BPFI</w:t>
      </w:r>
    </w:p>
    <w:p w14:paraId="3CE8816B" w14:textId="68A93D39" w:rsidR="006038AA" w:rsidRDefault="008F3CCE" w:rsidP="007F2366">
      <w:pPr>
        <w:spacing w:after="0" w:line="240" w:lineRule="auto"/>
        <w:contextualSpacing/>
        <w:jc w:val="both"/>
        <w:rPr>
          <w:sz w:val="24"/>
          <w:szCs w:val="24"/>
        </w:rPr>
      </w:pPr>
      <w:r w:rsidRPr="008F3CCE">
        <w:rPr>
          <w:sz w:val="24"/>
          <w:szCs w:val="24"/>
        </w:rPr>
        <w:t xml:space="preserve">Figure 3 shows the collapse in Residential Investment Letting (RIL) since 2006. </w:t>
      </w:r>
      <w:r>
        <w:rPr>
          <w:sz w:val="24"/>
          <w:szCs w:val="24"/>
        </w:rPr>
        <w:t xml:space="preserve">This collapse in private investor participation in the market is symptomatic of the manner in which the rental market has evolved in recent years. </w:t>
      </w:r>
    </w:p>
    <w:p w14:paraId="3F9EB58F" w14:textId="46A80079" w:rsidR="008F3CCE" w:rsidRDefault="008F3CCE" w:rsidP="007F2366">
      <w:pPr>
        <w:spacing w:after="0" w:line="240" w:lineRule="auto"/>
        <w:contextualSpacing/>
        <w:jc w:val="both"/>
        <w:rPr>
          <w:sz w:val="24"/>
          <w:szCs w:val="24"/>
        </w:rPr>
      </w:pPr>
    </w:p>
    <w:p w14:paraId="630B374C" w14:textId="2154EC85" w:rsidR="001B2BAD" w:rsidRDefault="008F3CCE" w:rsidP="007F2366">
      <w:pPr>
        <w:jc w:val="both"/>
        <w:rPr>
          <w:b/>
          <w:bCs/>
          <w:sz w:val="24"/>
          <w:szCs w:val="24"/>
        </w:rPr>
      </w:pPr>
      <w:r>
        <w:rPr>
          <w:b/>
          <w:bCs/>
          <w:sz w:val="24"/>
          <w:szCs w:val="24"/>
        </w:rPr>
        <w:t>Figure 3: RIL Mortgage Drawdowns</w:t>
      </w:r>
    </w:p>
    <w:p w14:paraId="5202644F" w14:textId="5537C01F" w:rsidR="008F3CCE" w:rsidRDefault="008F3CCE" w:rsidP="007F2366">
      <w:pPr>
        <w:jc w:val="both"/>
        <w:rPr>
          <w:b/>
          <w:bCs/>
          <w:sz w:val="24"/>
          <w:szCs w:val="24"/>
        </w:rPr>
      </w:pPr>
      <w:r>
        <w:rPr>
          <w:noProof/>
        </w:rPr>
        <w:drawing>
          <wp:inline distT="0" distB="0" distL="0" distR="0" wp14:anchorId="56D24518" wp14:editId="18EAD4AA">
            <wp:extent cx="5684520" cy="2743200"/>
            <wp:effectExtent l="0" t="0" r="11430" b="0"/>
            <wp:docPr id="8" name="Chart 8">
              <a:extLst xmlns:a="http://schemas.openxmlformats.org/drawingml/2006/main">
                <a:ext uri="{FF2B5EF4-FFF2-40B4-BE49-F238E27FC236}">
                  <a16:creationId xmlns:a16="http://schemas.microsoft.com/office/drawing/2014/main" id="{B2AF69E9-9154-4265-8335-2DC2EF06CE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48322E" w14:textId="566AE7DA" w:rsidR="00F23506" w:rsidRPr="00324AA6" w:rsidRDefault="00324AA6" w:rsidP="007F2366">
      <w:pPr>
        <w:jc w:val="both"/>
        <w:rPr>
          <w:sz w:val="24"/>
          <w:szCs w:val="24"/>
        </w:rPr>
      </w:pPr>
      <w:r w:rsidRPr="00324AA6">
        <w:rPr>
          <w:sz w:val="24"/>
          <w:szCs w:val="24"/>
        </w:rPr>
        <w:t>Source: BPFI</w:t>
      </w:r>
    </w:p>
    <w:p w14:paraId="06EB6CE9" w14:textId="15360E3D" w:rsidR="00247A38" w:rsidRDefault="00247A38" w:rsidP="007F2366">
      <w:pPr>
        <w:jc w:val="both"/>
        <w:rPr>
          <w:b/>
          <w:bCs/>
          <w:sz w:val="24"/>
          <w:szCs w:val="24"/>
        </w:rPr>
      </w:pPr>
      <w:r>
        <w:rPr>
          <w:b/>
          <w:bCs/>
          <w:sz w:val="24"/>
          <w:szCs w:val="24"/>
        </w:rPr>
        <w:br w:type="page"/>
      </w:r>
    </w:p>
    <w:p w14:paraId="55CCE864" w14:textId="4BF4CFC3" w:rsidR="006010E1" w:rsidRDefault="00247A38" w:rsidP="007F2366">
      <w:pPr>
        <w:pStyle w:val="Heading1"/>
        <w:jc w:val="both"/>
      </w:pPr>
      <w:bookmarkStart w:id="4" w:name="_Toc103266207"/>
      <w:r w:rsidRPr="00247A38">
        <w:lastRenderedPageBreak/>
        <w:t xml:space="preserve">SECTION </w:t>
      </w:r>
      <w:r w:rsidR="00396742">
        <w:t>2</w:t>
      </w:r>
      <w:r w:rsidRPr="00247A38">
        <w:t>: HOUSING SUPPLY</w:t>
      </w:r>
      <w:bookmarkEnd w:id="4"/>
    </w:p>
    <w:p w14:paraId="36941255" w14:textId="699022AA" w:rsidR="00247A38" w:rsidRPr="00247A38" w:rsidRDefault="00247A38" w:rsidP="007F2366">
      <w:pPr>
        <w:jc w:val="both"/>
      </w:pPr>
    </w:p>
    <w:p w14:paraId="121C4E98" w14:textId="2A1EE871" w:rsidR="00247A38" w:rsidRPr="00247A38" w:rsidRDefault="00247A38" w:rsidP="007F2366">
      <w:pPr>
        <w:jc w:val="both"/>
        <w:rPr>
          <w:sz w:val="24"/>
          <w:szCs w:val="24"/>
        </w:rPr>
      </w:pPr>
      <w:r>
        <w:rPr>
          <w:sz w:val="24"/>
          <w:szCs w:val="24"/>
        </w:rPr>
        <w:t xml:space="preserve">A key driver of the incessant upward pressure on house prices and rents is the imbalance between demand and supply in the housing market. Demand forces are very strong on the back of demographic developments and the ongoing increase in the household formation segment of the population. This is due to natural growth in population and </w:t>
      </w:r>
      <w:r w:rsidR="007A1EC7">
        <w:rPr>
          <w:sz w:val="24"/>
          <w:szCs w:val="24"/>
        </w:rPr>
        <w:t xml:space="preserve">inward migration. The demand pressures will be accentuated by the inflow of refugees from Ukraine. </w:t>
      </w:r>
      <w:r w:rsidRPr="00247A38">
        <w:rPr>
          <w:sz w:val="24"/>
          <w:szCs w:val="24"/>
        </w:rPr>
        <w:t xml:space="preserve">There has been some recovery in house building activity in recent years, but the supply of new dwellings is still way below what is required. Housing policy needs to address the myriad of issues limiting the supply of dwellings, if a properly functioning owner-occupier and rental market is to be achieved. </w:t>
      </w:r>
    </w:p>
    <w:p w14:paraId="406486CF" w14:textId="77777777" w:rsidR="00247A38" w:rsidRPr="005F45D3" w:rsidRDefault="00247A38" w:rsidP="007F2366">
      <w:pPr>
        <w:spacing w:after="0" w:line="240" w:lineRule="auto"/>
        <w:contextualSpacing/>
        <w:jc w:val="both"/>
        <w:rPr>
          <w:b/>
          <w:bCs/>
          <w:sz w:val="28"/>
          <w:szCs w:val="28"/>
        </w:rPr>
      </w:pPr>
      <w:r w:rsidRPr="005F45D3">
        <w:rPr>
          <w:b/>
          <w:bCs/>
          <w:sz w:val="28"/>
          <w:szCs w:val="28"/>
        </w:rPr>
        <w:t>RECENT TRENDS IN PLANNING PERMISSIONS</w:t>
      </w:r>
    </w:p>
    <w:p w14:paraId="6B949BDF" w14:textId="77777777" w:rsidR="00247A38" w:rsidRDefault="00247A38" w:rsidP="007F2366">
      <w:pPr>
        <w:spacing w:after="0" w:line="240" w:lineRule="auto"/>
        <w:contextualSpacing/>
        <w:jc w:val="both"/>
        <w:rPr>
          <w:b/>
          <w:bCs/>
          <w:sz w:val="24"/>
          <w:szCs w:val="24"/>
        </w:rPr>
      </w:pPr>
    </w:p>
    <w:p w14:paraId="3F2CB0B3" w14:textId="7FE77940" w:rsidR="00247A38" w:rsidRPr="00190D2D" w:rsidRDefault="00247A38" w:rsidP="007F2366">
      <w:pPr>
        <w:spacing w:after="0" w:line="240" w:lineRule="auto"/>
        <w:contextualSpacing/>
        <w:jc w:val="both"/>
        <w:rPr>
          <w:sz w:val="24"/>
          <w:szCs w:val="24"/>
        </w:rPr>
      </w:pPr>
      <w:r w:rsidRPr="00190D2D">
        <w:rPr>
          <w:sz w:val="24"/>
          <w:szCs w:val="24"/>
        </w:rPr>
        <w:t>The number of dwelling units granted planning permission peaked at 101,653 in 2004, but then collapsed from 2009 onwards to reach a low point of 6,250 units in 2012. There has subsequent</w:t>
      </w:r>
      <w:r w:rsidR="008E1645">
        <w:rPr>
          <w:sz w:val="24"/>
          <w:szCs w:val="24"/>
        </w:rPr>
        <w:t>ly</w:t>
      </w:r>
      <w:r w:rsidRPr="00190D2D">
        <w:rPr>
          <w:sz w:val="24"/>
          <w:szCs w:val="24"/>
        </w:rPr>
        <w:t xml:space="preserve"> been a recovery up to 202</w:t>
      </w:r>
      <w:r w:rsidR="0075194E">
        <w:rPr>
          <w:sz w:val="24"/>
          <w:szCs w:val="24"/>
        </w:rPr>
        <w:t>1</w:t>
      </w:r>
      <w:r w:rsidRPr="00190D2D">
        <w:rPr>
          <w:sz w:val="24"/>
          <w:szCs w:val="24"/>
        </w:rPr>
        <w:t>, when 4</w:t>
      </w:r>
      <w:r w:rsidR="0075194E">
        <w:rPr>
          <w:sz w:val="24"/>
          <w:szCs w:val="24"/>
        </w:rPr>
        <w:t>2,991</w:t>
      </w:r>
      <w:r w:rsidRPr="00190D2D">
        <w:rPr>
          <w:sz w:val="24"/>
          <w:szCs w:val="24"/>
        </w:rPr>
        <w:t xml:space="preserve"> units were granted planning permission. </w:t>
      </w:r>
    </w:p>
    <w:p w14:paraId="30839214" w14:textId="77777777" w:rsidR="00247A38" w:rsidRDefault="00247A38" w:rsidP="007F2366">
      <w:pPr>
        <w:spacing w:after="0" w:line="240" w:lineRule="auto"/>
        <w:contextualSpacing/>
        <w:jc w:val="both"/>
        <w:rPr>
          <w:b/>
          <w:bCs/>
          <w:sz w:val="24"/>
          <w:szCs w:val="24"/>
        </w:rPr>
      </w:pPr>
    </w:p>
    <w:p w14:paraId="4287D4F2" w14:textId="4A89964C" w:rsidR="00247A38" w:rsidRDefault="00247A38" w:rsidP="007F2366">
      <w:pPr>
        <w:spacing w:after="0" w:line="240" w:lineRule="auto"/>
        <w:contextualSpacing/>
        <w:jc w:val="both"/>
        <w:rPr>
          <w:b/>
          <w:bCs/>
          <w:sz w:val="24"/>
          <w:szCs w:val="24"/>
        </w:rPr>
      </w:pPr>
      <w:r>
        <w:rPr>
          <w:b/>
          <w:bCs/>
          <w:sz w:val="24"/>
          <w:szCs w:val="24"/>
        </w:rPr>
        <w:t xml:space="preserve">Figure </w:t>
      </w:r>
      <w:r w:rsidR="0075194E">
        <w:rPr>
          <w:b/>
          <w:bCs/>
          <w:sz w:val="24"/>
          <w:szCs w:val="24"/>
        </w:rPr>
        <w:t>4</w:t>
      </w:r>
      <w:r>
        <w:rPr>
          <w:b/>
          <w:bCs/>
          <w:sz w:val="24"/>
          <w:szCs w:val="24"/>
        </w:rPr>
        <w:t>: Number of New Dwelling Units Granted Planning Permission</w:t>
      </w:r>
    </w:p>
    <w:p w14:paraId="4CDA590E" w14:textId="6F9742AD" w:rsidR="0075194E" w:rsidRDefault="0075194E" w:rsidP="007F2366">
      <w:pPr>
        <w:spacing w:after="0" w:line="240" w:lineRule="auto"/>
        <w:contextualSpacing/>
        <w:jc w:val="both"/>
        <w:rPr>
          <w:b/>
          <w:bCs/>
          <w:sz w:val="24"/>
          <w:szCs w:val="24"/>
        </w:rPr>
      </w:pPr>
    </w:p>
    <w:p w14:paraId="73599EBC" w14:textId="41FF4CA1" w:rsidR="00247A38" w:rsidRDefault="0075194E" w:rsidP="007F2366">
      <w:pPr>
        <w:spacing w:after="0" w:line="240" w:lineRule="auto"/>
        <w:contextualSpacing/>
        <w:jc w:val="both"/>
        <w:rPr>
          <w:b/>
          <w:bCs/>
          <w:sz w:val="24"/>
          <w:szCs w:val="24"/>
        </w:rPr>
      </w:pPr>
      <w:r>
        <w:rPr>
          <w:noProof/>
        </w:rPr>
        <w:drawing>
          <wp:inline distT="0" distB="0" distL="0" distR="0" wp14:anchorId="15C1EE3C" wp14:editId="20A1FB1A">
            <wp:extent cx="5836920" cy="2491740"/>
            <wp:effectExtent l="0" t="0" r="11430" b="3810"/>
            <wp:docPr id="10" name="Chart 10">
              <a:extLst xmlns:a="http://schemas.openxmlformats.org/drawingml/2006/main">
                <a:ext uri="{FF2B5EF4-FFF2-40B4-BE49-F238E27FC236}">
                  <a16:creationId xmlns:a16="http://schemas.microsoft.com/office/drawing/2014/main" id="{E4465F78-A86D-4C42-A8E9-43DEAA2E7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2B8CCE" w14:textId="77777777" w:rsidR="00247A38" w:rsidRPr="00190D2D" w:rsidRDefault="00247A38" w:rsidP="007F2366">
      <w:pPr>
        <w:spacing w:after="0" w:line="240" w:lineRule="auto"/>
        <w:contextualSpacing/>
        <w:jc w:val="both"/>
        <w:rPr>
          <w:sz w:val="24"/>
          <w:szCs w:val="24"/>
        </w:rPr>
      </w:pPr>
      <w:r w:rsidRPr="00190D2D">
        <w:rPr>
          <w:sz w:val="24"/>
          <w:szCs w:val="24"/>
        </w:rPr>
        <w:t>Source: CSO</w:t>
      </w:r>
    </w:p>
    <w:p w14:paraId="31C59414" w14:textId="77777777" w:rsidR="00247A38" w:rsidRDefault="00247A38" w:rsidP="007F2366">
      <w:pPr>
        <w:spacing w:after="0" w:line="240" w:lineRule="auto"/>
        <w:contextualSpacing/>
        <w:jc w:val="both"/>
        <w:rPr>
          <w:b/>
          <w:bCs/>
          <w:sz w:val="24"/>
          <w:szCs w:val="24"/>
        </w:rPr>
      </w:pPr>
    </w:p>
    <w:p w14:paraId="210B4BF1" w14:textId="738EFD3C" w:rsidR="003A5C47" w:rsidRPr="003A5C47" w:rsidRDefault="003A5C47" w:rsidP="007F2366">
      <w:pPr>
        <w:spacing w:after="0" w:line="240" w:lineRule="auto"/>
        <w:contextualSpacing/>
        <w:jc w:val="both"/>
        <w:rPr>
          <w:sz w:val="24"/>
          <w:szCs w:val="24"/>
        </w:rPr>
      </w:pPr>
      <w:r w:rsidRPr="003A5C47">
        <w:rPr>
          <w:sz w:val="24"/>
          <w:szCs w:val="24"/>
        </w:rPr>
        <w:t xml:space="preserve">In 2021, </w:t>
      </w:r>
      <w:r w:rsidR="005F45D3">
        <w:rPr>
          <w:sz w:val="24"/>
          <w:szCs w:val="24"/>
        </w:rPr>
        <w:t>a</w:t>
      </w:r>
      <w:r w:rsidRPr="003A5C47">
        <w:rPr>
          <w:sz w:val="24"/>
          <w:szCs w:val="24"/>
        </w:rPr>
        <w:t xml:space="preserve">partments accounted for 61.1 per cent of the total number of units granted planning permission. The obvious risk is that there will be too much focus on </w:t>
      </w:r>
      <w:r w:rsidR="005F45D3">
        <w:rPr>
          <w:sz w:val="24"/>
          <w:szCs w:val="24"/>
        </w:rPr>
        <w:t>a</w:t>
      </w:r>
      <w:r w:rsidRPr="003A5C47">
        <w:rPr>
          <w:sz w:val="24"/>
          <w:szCs w:val="24"/>
        </w:rPr>
        <w:t>partments, which are mainly purchased by institutional investors, and this could result in excess</w:t>
      </w:r>
    </w:p>
    <w:p w14:paraId="03CE838F" w14:textId="7BE3C1FB" w:rsidR="00247A38" w:rsidRDefault="003A5C47" w:rsidP="007F2366">
      <w:pPr>
        <w:spacing w:after="0" w:line="240" w:lineRule="auto"/>
        <w:contextualSpacing/>
        <w:jc w:val="both"/>
        <w:rPr>
          <w:sz w:val="24"/>
          <w:szCs w:val="24"/>
        </w:rPr>
      </w:pPr>
      <w:r w:rsidRPr="003A5C47">
        <w:rPr>
          <w:sz w:val="24"/>
          <w:szCs w:val="24"/>
        </w:rPr>
        <w:t xml:space="preserve">supply in this segment of the market. </w:t>
      </w:r>
    </w:p>
    <w:p w14:paraId="15998332" w14:textId="77777777" w:rsidR="002808F5" w:rsidRDefault="002808F5" w:rsidP="007F2366">
      <w:pPr>
        <w:spacing w:after="0" w:line="240" w:lineRule="auto"/>
        <w:contextualSpacing/>
        <w:jc w:val="both"/>
        <w:rPr>
          <w:b/>
          <w:bCs/>
          <w:sz w:val="28"/>
          <w:szCs w:val="28"/>
        </w:rPr>
      </w:pPr>
    </w:p>
    <w:p w14:paraId="2499B295" w14:textId="4696787F" w:rsidR="00247A38" w:rsidRPr="00116E74" w:rsidRDefault="00247A38" w:rsidP="007F2366">
      <w:pPr>
        <w:spacing w:after="0" w:line="240" w:lineRule="auto"/>
        <w:contextualSpacing/>
        <w:jc w:val="both"/>
        <w:rPr>
          <w:b/>
          <w:bCs/>
          <w:sz w:val="28"/>
          <w:szCs w:val="28"/>
        </w:rPr>
      </w:pPr>
      <w:r w:rsidRPr="00116E74">
        <w:rPr>
          <w:b/>
          <w:bCs/>
          <w:sz w:val="28"/>
          <w:szCs w:val="28"/>
        </w:rPr>
        <w:t>RECENT TRENDS IN DWELLING COMPLETIONS</w:t>
      </w:r>
    </w:p>
    <w:p w14:paraId="3764C95C" w14:textId="77777777" w:rsidR="00247A38" w:rsidRPr="00345487" w:rsidRDefault="00247A38" w:rsidP="007F2366">
      <w:pPr>
        <w:spacing w:after="0" w:line="240" w:lineRule="auto"/>
        <w:contextualSpacing/>
        <w:jc w:val="both"/>
        <w:rPr>
          <w:b/>
          <w:bCs/>
          <w:sz w:val="28"/>
          <w:szCs w:val="28"/>
        </w:rPr>
      </w:pPr>
    </w:p>
    <w:p w14:paraId="308D8FFC" w14:textId="2229EEDC" w:rsidR="00247A38" w:rsidRDefault="00247A38" w:rsidP="007F2366">
      <w:pPr>
        <w:jc w:val="both"/>
        <w:rPr>
          <w:sz w:val="24"/>
          <w:szCs w:val="24"/>
        </w:rPr>
      </w:pPr>
      <w:r>
        <w:rPr>
          <w:sz w:val="24"/>
          <w:szCs w:val="24"/>
        </w:rPr>
        <w:lastRenderedPageBreak/>
        <w:t xml:space="preserve">Building activity collapsed after the </w:t>
      </w:r>
      <w:r w:rsidR="00107CED">
        <w:rPr>
          <w:sz w:val="24"/>
          <w:szCs w:val="24"/>
        </w:rPr>
        <w:t>economic and</w:t>
      </w:r>
      <w:r>
        <w:rPr>
          <w:sz w:val="24"/>
          <w:szCs w:val="24"/>
        </w:rPr>
        <w:t xml:space="preserve"> financial crash</w:t>
      </w:r>
      <w:r w:rsidR="00A54114">
        <w:rPr>
          <w:sz w:val="24"/>
          <w:szCs w:val="24"/>
        </w:rPr>
        <w:t xml:space="preserve"> in 2008</w:t>
      </w:r>
      <w:r>
        <w:rPr>
          <w:sz w:val="24"/>
          <w:szCs w:val="24"/>
        </w:rPr>
        <w:t>, but t</w:t>
      </w:r>
      <w:r w:rsidRPr="00345487">
        <w:rPr>
          <w:sz w:val="24"/>
          <w:szCs w:val="24"/>
        </w:rPr>
        <w:t xml:space="preserve">he supply of new </w:t>
      </w:r>
      <w:r>
        <w:rPr>
          <w:sz w:val="24"/>
          <w:szCs w:val="24"/>
        </w:rPr>
        <w:t>dwelling</w:t>
      </w:r>
      <w:r w:rsidRPr="00345487">
        <w:rPr>
          <w:sz w:val="24"/>
          <w:szCs w:val="24"/>
        </w:rPr>
        <w:t xml:space="preserve"> units has been gradually increasing since 2014</w:t>
      </w:r>
      <w:r w:rsidR="0022130B">
        <w:rPr>
          <w:sz w:val="24"/>
          <w:szCs w:val="24"/>
        </w:rPr>
        <w:t xml:space="preserve">. </w:t>
      </w:r>
      <w:r>
        <w:rPr>
          <w:sz w:val="24"/>
          <w:szCs w:val="24"/>
        </w:rPr>
        <w:t>Between 2011 and 2020, the average number of dwellings completed was 1</w:t>
      </w:r>
      <w:r w:rsidR="0022130B">
        <w:rPr>
          <w:sz w:val="24"/>
          <w:szCs w:val="24"/>
        </w:rPr>
        <w:t>2,123</w:t>
      </w:r>
      <w:r>
        <w:rPr>
          <w:sz w:val="24"/>
          <w:szCs w:val="24"/>
        </w:rPr>
        <w:t xml:space="preserve">. Ireland needs average annual completions of at least 35,000 to satisfy future demand. </w:t>
      </w:r>
    </w:p>
    <w:p w14:paraId="43D24811" w14:textId="31BBBCC8" w:rsidR="00247A38" w:rsidRPr="00345487" w:rsidRDefault="00247A38" w:rsidP="007F2366">
      <w:pPr>
        <w:spacing w:after="0" w:line="240" w:lineRule="auto"/>
        <w:contextualSpacing/>
        <w:jc w:val="both"/>
        <w:rPr>
          <w:b/>
          <w:bCs/>
          <w:sz w:val="24"/>
          <w:szCs w:val="24"/>
        </w:rPr>
      </w:pPr>
      <w:r w:rsidRPr="00345487">
        <w:rPr>
          <w:b/>
          <w:bCs/>
          <w:sz w:val="24"/>
          <w:szCs w:val="24"/>
        </w:rPr>
        <w:t xml:space="preserve">Figure </w:t>
      </w:r>
      <w:r w:rsidR="0075194E">
        <w:rPr>
          <w:b/>
          <w:bCs/>
          <w:sz w:val="24"/>
          <w:szCs w:val="24"/>
        </w:rPr>
        <w:t>5</w:t>
      </w:r>
      <w:r w:rsidRPr="00345487">
        <w:rPr>
          <w:b/>
          <w:bCs/>
          <w:sz w:val="24"/>
          <w:szCs w:val="24"/>
        </w:rPr>
        <w:t>: New Dwelling Completions</w:t>
      </w:r>
    </w:p>
    <w:p w14:paraId="75237B5B" w14:textId="77777777" w:rsidR="00247A38" w:rsidRPr="00345487" w:rsidRDefault="00247A38" w:rsidP="007F2366">
      <w:pPr>
        <w:spacing w:after="0" w:line="240" w:lineRule="auto"/>
        <w:contextualSpacing/>
        <w:jc w:val="both"/>
        <w:rPr>
          <w:b/>
          <w:bCs/>
          <w:sz w:val="24"/>
          <w:szCs w:val="24"/>
        </w:rPr>
      </w:pPr>
    </w:p>
    <w:p w14:paraId="3F912287" w14:textId="77777777" w:rsidR="0075194E" w:rsidRDefault="00DA261D" w:rsidP="007F2366">
      <w:pPr>
        <w:jc w:val="both"/>
        <w:rPr>
          <w:b/>
          <w:bCs/>
          <w:sz w:val="24"/>
          <w:szCs w:val="24"/>
        </w:rPr>
      </w:pPr>
      <w:r>
        <w:rPr>
          <w:noProof/>
        </w:rPr>
        <w:drawing>
          <wp:inline distT="0" distB="0" distL="0" distR="0" wp14:anchorId="72A6FCB5" wp14:editId="42D398FD">
            <wp:extent cx="5731510" cy="2583180"/>
            <wp:effectExtent l="0" t="0" r="2540" b="7620"/>
            <wp:docPr id="9" name="Chart 9">
              <a:extLst xmlns:a="http://schemas.openxmlformats.org/drawingml/2006/main">
                <a:ext uri="{FF2B5EF4-FFF2-40B4-BE49-F238E27FC236}">
                  <a16:creationId xmlns:a16="http://schemas.microsoft.com/office/drawing/2014/main" id="{4D90564F-E599-434F-8791-83970978E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C620D2" w14:textId="0BCA7FEC" w:rsidR="00A27371" w:rsidRDefault="0075194E" w:rsidP="007F2366">
      <w:pPr>
        <w:jc w:val="both"/>
        <w:rPr>
          <w:sz w:val="24"/>
          <w:szCs w:val="24"/>
        </w:rPr>
      </w:pPr>
      <w:r w:rsidRPr="0075194E">
        <w:rPr>
          <w:sz w:val="24"/>
          <w:szCs w:val="24"/>
        </w:rPr>
        <w:t>Source: CSO</w:t>
      </w:r>
    </w:p>
    <w:p w14:paraId="79BDC4B6" w14:textId="5E3BF442" w:rsidR="002808F5" w:rsidRDefault="006E2A87" w:rsidP="007F2366">
      <w:pPr>
        <w:jc w:val="both"/>
        <w:rPr>
          <w:sz w:val="24"/>
          <w:szCs w:val="24"/>
        </w:rPr>
      </w:pPr>
      <w:r>
        <w:rPr>
          <w:sz w:val="24"/>
          <w:szCs w:val="24"/>
        </w:rPr>
        <w:t xml:space="preserve">Figure 6 shows the breakdown of new dwelling completions by type between 2011 and 2021. </w:t>
      </w:r>
      <w:r w:rsidR="005522C5">
        <w:rPr>
          <w:sz w:val="24"/>
          <w:szCs w:val="24"/>
        </w:rPr>
        <w:t>Between 2011 and 2021, Apartments accounted for 16 per cent of dwellings completed; Single Houses accounted for 33.6 per cent; and Scheme Houses accounted for 50.4 per cent of the total.</w:t>
      </w:r>
      <w:r w:rsidR="002808F5" w:rsidRPr="002808F5">
        <w:rPr>
          <w:sz w:val="24"/>
          <w:szCs w:val="24"/>
        </w:rPr>
        <w:t xml:space="preserve"> </w:t>
      </w:r>
      <w:r w:rsidR="002808F5">
        <w:rPr>
          <w:sz w:val="24"/>
          <w:szCs w:val="24"/>
        </w:rPr>
        <w:t xml:space="preserve">In 2021, Apartments accounted for 25 per cent of total completions. Institution investors are the key investors in the Apartment market. </w:t>
      </w:r>
    </w:p>
    <w:p w14:paraId="20D3C7A4" w14:textId="56658B52" w:rsidR="00A27371" w:rsidRPr="00A27371" w:rsidRDefault="00A27371" w:rsidP="007F2366">
      <w:pPr>
        <w:jc w:val="both"/>
        <w:rPr>
          <w:b/>
          <w:bCs/>
          <w:sz w:val="24"/>
          <w:szCs w:val="24"/>
        </w:rPr>
      </w:pPr>
      <w:r w:rsidRPr="00A27371">
        <w:rPr>
          <w:b/>
          <w:bCs/>
          <w:sz w:val="24"/>
          <w:szCs w:val="24"/>
        </w:rPr>
        <w:t>Figure 6: New Dwelling Completions by Type</w:t>
      </w:r>
    </w:p>
    <w:p w14:paraId="021B3DBA" w14:textId="77777777" w:rsidR="00A27371" w:rsidRDefault="00A27371" w:rsidP="007F2366">
      <w:pPr>
        <w:jc w:val="both"/>
        <w:rPr>
          <w:sz w:val="24"/>
          <w:szCs w:val="24"/>
        </w:rPr>
      </w:pPr>
      <w:r>
        <w:rPr>
          <w:noProof/>
        </w:rPr>
        <w:drawing>
          <wp:inline distT="0" distB="0" distL="0" distR="0" wp14:anchorId="7E683FA8" wp14:editId="11B18007">
            <wp:extent cx="5707380" cy="2545080"/>
            <wp:effectExtent l="0" t="0" r="7620" b="7620"/>
            <wp:docPr id="5" name="Chart 5">
              <a:extLst xmlns:a="http://schemas.openxmlformats.org/drawingml/2006/main">
                <a:ext uri="{FF2B5EF4-FFF2-40B4-BE49-F238E27FC236}">
                  <a16:creationId xmlns:a16="http://schemas.microsoft.com/office/drawing/2014/main" id="{4F07C039-26DD-11D8-90D9-436C521A7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413E9">
        <w:rPr>
          <w:sz w:val="24"/>
          <w:szCs w:val="24"/>
        </w:rPr>
        <w:t xml:space="preserve"> </w:t>
      </w:r>
    </w:p>
    <w:p w14:paraId="6A1BB2C1" w14:textId="77777777" w:rsidR="00A27371" w:rsidRDefault="00A27371" w:rsidP="007F2366">
      <w:pPr>
        <w:jc w:val="both"/>
        <w:rPr>
          <w:sz w:val="24"/>
          <w:szCs w:val="24"/>
        </w:rPr>
      </w:pPr>
      <w:r w:rsidRPr="0075194E">
        <w:rPr>
          <w:sz w:val="24"/>
          <w:szCs w:val="24"/>
        </w:rPr>
        <w:t>Source: CSO</w:t>
      </w:r>
    </w:p>
    <w:p w14:paraId="2DA9E504" w14:textId="4670AC1A" w:rsidR="00E413E9" w:rsidRPr="00E413E9" w:rsidRDefault="00E413E9" w:rsidP="0008357A">
      <w:pPr>
        <w:jc w:val="both"/>
        <w:rPr>
          <w:rFonts w:asciiTheme="majorHAnsi" w:eastAsiaTheme="majorEastAsia" w:hAnsiTheme="majorHAnsi" w:cstheme="majorBidi"/>
          <w:color w:val="2F5496" w:themeColor="accent1" w:themeShade="BF"/>
          <w:sz w:val="32"/>
          <w:szCs w:val="32"/>
        </w:rPr>
      </w:pPr>
      <w:r w:rsidRPr="00E413E9">
        <w:rPr>
          <w:sz w:val="24"/>
          <w:szCs w:val="24"/>
        </w:rPr>
        <w:br w:type="page"/>
      </w:r>
      <w:bookmarkStart w:id="5" w:name="_Toc85050344"/>
      <w:bookmarkStart w:id="6" w:name="_Toc103266208"/>
      <w:r w:rsidR="0022130B">
        <w:rPr>
          <w:rFonts w:asciiTheme="majorHAnsi" w:eastAsiaTheme="majorEastAsia" w:hAnsiTheme="majorHAnsi" w:cstheme="majorBidi"/>
          <w:color w:val="2F5496" w:themeColor="accent1" w:themeShade="BF"/>
          <w:sz w:val="32"/>
          <w:szCs w:val="32"/>
        </w:rPr>
        <w:lastRenderedPageBreak/>
        <w:t xml:space="preserve">SECTION </w:t>
      </w:r>
      <w:r w:rsidR="00396742">
        <w:rPr>
          <w:rFonts w:asciiTheme="majorHAnsi" w:eastAsiaTheme="majorEastAsia" w:hAnsiTheme="majorHAnsi" w:cstheme="majorBidi"/>
          <w:color w:val="2F5496" w:themeColor="accent1" w:themeShade="BF"/>
          <w:sz w:val="32"/>
          <w:szCs w:val="32"/>
        </w:rPr>
        <w:t>3</w:t>
      </w:r>
      <w:r w:rsidR="0022130B">
        <w:rPr>
          <w:rFonts w:asciiTheme="majorHAnsi" w:eastAsiaTheme="majorEastAsia" w:hAnsiTheme="majorHAnsi" w:cstheme="majorBidi"/>
          <w:color w:val="2F5496" w:themeColor="accent1" w:themeShade="BF"/>
          <w:sz w:val="32"/>
          <w:szCs w:val="32"/>
        </w:rPr>
        <w:t xml:space="preserve">: </w:t>
      </w:r>
      <w:r w:rsidRPr="00E413E9">
        <w:rPr>
          <w:rFonts w:asciiTheme="majorHAnsi" w:eastAsiaTheme="majorEastAsia" w:hAnsiTheme="majorHAnsi" w:cstheme="majorBidi"/>
          <w:color w:val="2F5496" w:themeColor="accent1" w:themeShade="BF"/>
          <w:sz w:val="32"/>
          <w:szCs w:val="32"/>
        </w:rPr>
        <w:t>RECENT TRENDS IN PRIVATE RENTS</w:t>
      </w:r>
      <w:bookmarkEnd w:id="5"/>
      <w:bookmarkEnd w:id="6"/>
    </w:p>
    <w:p w14:paraId="69C383C5" w14:textId="77777777" w:rsidR="00E413E9" w:rsidRPr="00E413E9" w:rsidRDefault="00E413E9" w:rsidP="007F2366">
      <w:pPr>
        <w:spacing w:after="0" w:line="240" w:lineRule="auto"/>
        <w:contextualSpacing/>
        <w:jc w:val="both"/>
        <w:rPr>
          <w:b/>
          <w:bCs/>
          <w:sz w:val="28"/>
          <w:szCs w:val="28"/>
        </w:rPr>
      </w:pPr>
    </w:p>
    <w:p w14:paraId="0CA31B0C" w14:textId="6BB5BBCC" w:rsidR="00E413E9" w:rsidRPr="00E413E9" w:rsidRDefault="0022130B" w:rsidP="007F2366">
      <w:pPr>
        <w:spacing w:after="0" w:line="240" w:lineRule="auto"/>
        <w:contextualSpacing/>
        <w:jc w:val="both"/>
        <w:rPr>
          <w:sz w:val="24"/>
          <w:szCs w:val="24"/>
        </w:rPr>
      </w:pPr>
      <w:r>
        <w:rPr>
          <w:sz w:val="24"/>
          <w:szCs w:val="24"/>
        </w:rPr>
        <w:t>A properly functioning housing market requires an adequate supply of affordable properties to rent and to buy. The ongoing escalation in house prices poses a significant challenge to polic</w:t>
      </w:r>
      <w:r w:rsidR="001644B3">
        <w:rPr>
          <w:sz w:val="24"/>
          <w:szCs w:val="24"/>
        </w:rPr>
        <w:t>y</w:t>
      </w:r>
      <w:r>
        <w:rPr>
          <w:sz w:val="24"/>
          <w:szCs w:val="24"/>
        </w:rPr>
        <w:t xml:space="preserve">makers, but the rental market is in a state of crisis and is functioning in a sub-optimal manner. </w:t>
      </w:r>
      <w:r w:rsidR="00E413E9" w:rsidRPr="00E413E9">
        <w:rPr>
          <w:sz w:val="24"/>
          <w:szCs w:val="24"/>
        </w:rPr>
        <w:t xml:space="preserve">The increasing cost of rent and the lack of an adequate supply of </w:t>
      </w:r>
      <w:r>
        <w:rPr>
          <w:sz w:val="24"/>
          <w:szCs w:val="24"/>
        </w:rPr>
        <w:t xml:space="preserve">rental properties encapsulate the problem and the challenge. </w:t>
      </w:r>
    </w:p>
    <w:p w14:paraId="68516636" w14:textId="77777777" w:rsidR="00E413E9" w:rsidRPr="00E413E9" w:rsidRDefault="00E413E9" w:rsidP="007F2366">
      <w:pPr>
        <w:spacing w:after="0" w:line="240" w:lineRule="auto"/>
        <w:contextualSpacing/>
        <w:jc w:val="both"/>
        <w:rPr>
          <w:b/>
          <w:bCs/>
          <w:sz w:val="24"/>
          <w:szCs w:val="24"/>
        </w:rPr>
      </w:pPr>
    </w:p>
    <w:p w14:paraId="15CB1111" w14:textId="77777777" w:rsidR="00E413E9" w:rsidRPr="00E413E9" w:rsidRDefault="00E413E9" w:rsidP="007F2366">
      <w:pPr>
        <w:spacing w:after="0" w:line="240" w:lineRule="auto"/>
        <w:contextualSpacing/>
        <w:jc w:val="both"/>
        <w:rPr>
          <w:sz w:val="24"/>
          <w:szCs w:val="24"/>
        </w:rPr>
      </w:pPr>
      <w:r w:rsidRPr="00E413E9">
        <w:rPr>
          <w:sz w:val="24"/>
          <w:szCs w:val="24"/>
        </w:rPr>
        <w:t xml:space="preserve">The Residential Tenancies Board (RTB) and the Central statistics Office (CSO) are two important sources of rent price data in the Irish market. </w:t>
      </w:r>
    </w:p>
    <w:p w14:paraId="2A5A7EC9" w14:textId="77777777" w:rsidR="00E413E9" w:rsidRPr="00E413E9" w:rsidRDefault="00E413E9" w:rsidP="007F2366">
      <w:pPr>
        <w:spacing w:after="0" w:line="240" w:lineRule="auto"/>
        <w:contextualSpacing/>
        <w:jc w:val="both"/>
        <w:rPr>
          <w:b/>
          <w:bCs/>
          <w:sz w:val="24"/>
          <w:szCs w:val="24"/>
        </w:rPr>
      </w:pPr>
    </w:p>
    <w:p w14:paraId="6CBEB50A" w14:textId="77777777" w:rsidR="00E413E9" w:rsidRPr="00E413E9" w:rsidRDefault="00E413E9" w:rsidP="007F2366">
      <w:pPr>
        <w:spacing w:after="0" w:line="240" w:lineRule="auto"/>
        <w:contextualSpacing/>
        <w:jc w:val="both"/>
        <w:rPr>
          <w:b/>
          <w:bCs/>
          <w:sz w:val="24"/>
          <w:szCs w:val="24"/>
        </w:rPr>
      </w:pPr>
      <w:r w:rsidRPr="00E413E9">
        <w:rPr>
          <w:b/>
          <w:bCs/>
          <w:sz w:val="24"/>
          <w:szCs w:val="24"/>
        </w:rPr>
        <w:t>Residential Tenancies Board (RTB)</w:t>
      </w:r>
    </w:p>
    <w:p w14:paraId="6B344088" w14:textId="77777777" w:rsidR="00E413E9" w:rsidRPr="00E413E9" w:rsidRDefault="00E413E9" w:rsidP="007F2366">
      <w:pPr>
        <w:spacing w:after="0" w:line="240" w:lineRule="auto"/>
        <w:contextualSpacing/>
        <w:jc w:val="both"/>
        <w:rPr>
          <w:sz w:val="24"/>
          <w:szCs w:val="24"/>
        </w:rPr>
      </w:pPr>
    </w:p>
    <w:p w14:paraId="4E9CA401" w14:textId="6D2A805D" w:rsidR="00E413E9" w:rsidRPr="00E413E9" w:rsidRDefault="00E413E9" w:rsidP="007F2366">
      <w:pPr>
        <w:spacing w:after="0" w:line="240" w:lineRule="auto"/>
        <w:contextualSpacing/>
        <w:jc w:val="both"/>
        <w:rPr>
          <w:sz w:val="24"/>
          <w:szCs w:val="24"/>
        </w:rPr>
      </w:pPr>
      <w:r w:rsidRPr="00E413E9">
        <w:rPr>
          <w:sz w:val="24"/>
          <w:szCs w:val="24"/>
        </w:rPr>
        <w:t>The RTB index is based on the RTB’s national register of private tenancies and captures actual rents being paid for rented properties</w:t>
      </w:r>
      <w:r w:rsidR="00001487">
        <w:rPr>
          <w:sz w:val="24"/>
          <w:szCs w:val="24"/>
        </w:rPr>
        <w:t xml:space="preserve"> by those taking up new tenancies.</w:t>
      </w:r>
      <w:r w:rsidRPr="00E413E9">
        <w:rPr>
          <w:sz w:val="24"/>
          <w:szCs w:val="24"/>
        </w:rPr>
        <w:t xml:space="preserve"> Between the first quarter of 2008 and the first quarter of 2012, rents declined by 25 per cent. At that stage rents started to move upwards again and between the first quarter of 2012 and th</w:t>
      </w:r>
      <w:r w:rsidR="00983A5F">
        <w:rPr>
          <w:sz w:val="24"/>
          <w:szCs w:val="24"/>
        </w:rPr>
        <w:t>e fourth</w:t>
      </w:r>
      <w:r w:rsidRPr="00E413E9">
        <w:rPr>
          <w:sz w:val="24"/>
          <w:szCs w:val="24"/>
        </w:rPr>
        <w:t xml:space="preserve"> quarter of 2021, national average rents increased by </w:t>
      </w:r>
      <w:r w:rsidR="00983A5F">
        <w:rPr>
          <w:sz w:val="24"/>
          <w:szCs w:val="24"/>
        </w:rPr>
        <w:t>90.7</w:t>
      </w:r>
      <w:r w:rsidRPr="00E413E9">
        <w:rPr>
          <w:sz w:val="24"/>
          <w:szCs w:val="24"/>
        </w:rPr>
        <w:t xml:space="preserve"> per cent.</w:t>
      </w:r>
      <w:r w:rsidR="00983A5F">
        <w:rPr>
          <w:sz w:val="24"/>
          <w:szCs w:val="24"/>
        </w:rPr>
        <w:t xml:space="preserve"> In the year to the final quarter of 2021 average rents increased by 9 per cent.</w:t>
      </w:r>
    </w:p>
    <w:p w14:paraId="6A4CAB47" w14:textId="77777777" w:rsidR="00E413E9" w:rsidRPr="00E413E9" w:rsidRDefault="00E413E9" w:rsidP="007F2366">
      <w:pPr>
        <w:spacing w:after="0" w:line="240" w:lineRule="auto"/>
        <w:contextualSpacing/>
        <w:jc w:val="both"/>
        <w:rPr>
          <w:sz w:val="24"/>
          <w:szCs w:val="24"/>
        </w:rPr>
      </w:pPr>
    </w:p>
    <w:p w14:paraId="1A53B8BC" w14:textId="3E48DADB" w:rsidR="00E413E9" w:rsidRPr="00E413E9" w:rsidRDefault="00E413E9" w:rsidP="007F2366">
      <w:pPr>
        <w:spacing w:after="0" w:line="240" w:lineRule="auto"/>
        <w:contextualSpacing/>
        <w:jc w:val="both"/>
        <w:rPr>
          <w:b/>
          <w:bCs/>
          <w:sz w:val="24"/>
          <w:szCs w:val="24"/>
        </w:rPr>
      </w:pPr>
      <w:r w:rsidRPr="00E413E9">
        <w:rPr>
          <w:b/>
          <w:bCs/>
          <w:sz w:val="24"/>
          <w:szCs w:val="24"/>
        </w:rPr>
        <w:t xml:space="preserve">Figure </w:t>
      </w:r>
      <w:r w:rsidR="00A27371">
        <w:rPr>
          <w:b/>
          <w:bCs/>
          <w:sz w:val="24"/>
          <w:szCs w:val="24"/>
        </w:rPr>
        <w:t>7</w:t>
      </w:r>
      <w:r w:rsidRPr="00E413E9">
        <w:rPr>
          <w:b/>
          <w:bCs/>
          <w:sz w:val="24"/>
          <w:szCs w:val="24"/>
        </w:rPr>
        <w:t>: Residential Tenancies Board National Rent Index</w:t>
      </w:r>
      <w:r w:rsidR="00001487">
        <w:rPr>
          <w:b/>
          <w:bCs/>
          <w:sz w:val="24"/>
          <w:szCs w:val="24"/>
        </w:rPr>
        <w:t xml:space="preserve"> for New Tenancies</w:t>
      </w:r>
    </w:p>
    <w:p w14:paraId="18E2B407" w14:textId="77777777" w:rsidR="00E413E9" w:rsidRPr="00E413E9" w:rsidRDefault="00E413E9" w:rsidP="007F2366">
      <w:pPr>
        <w:spacing w:after="0" w:line="240" w:lineRule="auto"/>
        <w:contextualSpacing/>
        <w:jc w:val="both"/>
        <w:rPr>
          <w:sz w:val="24"/>
          <w:szCs w:val="24"/>
        </w:rPr>
      </w:pPr>
    </w:p>
    <w:p w14:paraId="4C213F11" w14:textId="12CE8B50" w:rsidR="00E413E9" w:rsidRPr="00E413E9" w:rsidRDefault="00983A5F" w:rsidP="007F2366">
      <w:pPr>
        <w:spacing w:after="0" w:line="240" w:lineRule="auto"/>
        <w:contextualSpacing/>
        <w:jc w:val="both"/>
        <w:rPr>
          <w:sz w:val="24"/>
          <w:szCs w:val="24"/>
        </w:rPr>
      </w:pPr>
      <w:r>
        <w:rPr>
          <w:noProof/>
        </w:rPr>
        <w:drawing>
          <wp:inline distT="0" distB="0" distL="0" distR="0" wp14:anchorId="18C33D7A" wp14:editId="710D0BC6">
            <wp:extent cx="5798820" cy="2613660"/>
            <wp:effectExtent l="0" t="0" r="11430" b="15240"/>
            <wp:docPr id="1" name="Chart 1">
              <a:extLst xmlns:a="http://schemas.openxmlformats.org/drawingml/2006/main">
                <a:ext uri="{FF2B5EF4-FFF2-40B4-BE49-F238E27FC236}">
                  <a16:creationId xmlns:a16="http://schemas.microsoft.com/office/drawing/2014/main" id="{92575FFC-71C2-44E5-B487-EAD1392C3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7D56CE" w14:textId="77777777" w:rsidR="00E413E9" w:rsidRPr="00E413E9" w:rsidRDefault="00E413E9" w:rsidP="007F2366">
      <w:pPr>
        <w:spacing w:after="0" w:line="240" w:lineRule="auto"/>
        <w:contextualSpacing/>
        <w:jc w:val="both"/>
        <w:rPr>
          <w:sz w:val="24"/>
          <w:szCs w:val="24"/>
        </w:rPr>
      </w:pPr>
      <w:r w:rsidRPr="00E413E9">
        <w:rPr>
          <w:sz w:val="24"/>
          <w:szCs w:val="24"/>
        </w:rPr>
        <w:t>Source: Residential Tenancies Board</w:t>
      </w:r>
    </w:p>
    <w:p w14:paraId="0D77D855" w14:textId="77777777" w:rsidR="00E413E9" w:rsidRPr="00E413E9" w:rsidRDefault="00E413E9" w:rsidP="007F2366">
      <w:pPr>
        <w:spacing w:after="0" w:line="240" w:lineRule="auto"/>
        <w:contextualSpacing/>
        <w:jc w:val="both"/>
        <w:rPr>
          <w:sz w:val="24"/>
          <w:szCs w:val="24"/>
        </w:rPr>
      </w:pPr>
    </w:p>
    <w:p w14:paraId="49B2F0E5" w14:textId="77777777" w:rsidR="00E413E9" w:rsidRPr="00E413E9" w:rsidRDefault="00E413E9" w:rsidP="007F2366">
      <w:pPr>
        <w:jc w:val="both"/>
        <w:rPr>
          <w:sz w:val="24"/>
          <w:szCs w:val="24"/>
        </w:rPr>
      </w:pPr>
      <w:r w:rsidRPr="00E413E9">
        <w:rPr>
          <w:sz w:val="24"/>
          <w:szCs w:val="24"/>
        </w:rPr>
        <w:t>The latest data from the Residential Tenancies Board (RTB) show:</w:t>
      </w:r>
    </w:p>
    <w:p w14:paraId="70D06DFC" w14:textId="5EEB3D1C" w:rsidR="00E413E9" w:rsidRPr="00E413E9" w:rsidRDefault="00E413E9" w:rsidP="007F2366">
      <w:pPr>
        <w:numPr>
          <w:ilvl w:val="0"/>
          <w:numId w:val="6"/>
        </w:numPr>
        <w:contextualSpacing/>
        <w:jc w:val="both"/>
        <w:rPr>
          <w:sz w:val="24"/>
          <w:szCs w:val="24"/>
          <w:lang w:eastAsia="en-IE"/>
        </w:rPr>
      </w:pPr>
      <w:r w:rsidRPr="00E413E9">
        <w:rPr>
          <w:sz w:val="24"/>
          <w:szCs w:val="24"/>
          <w:bdr w:val="none" w:sz="0" w:space="0" w:color="auto" w:frame="1"/>
          <w:lang w:eastAsia="en-IE"/>
        </w:rPr>
        <w:t xml:space="preserve">National rents in Ireland grew by </w:t>
      </w:r>
      <w:r w:rsidR="00001487">
        <w:rPr>
          <w:sz w:val="24"/>
          <w:szCs w:val="24"/>
          <w:bdr w:val="none" w:sz="0" w:space="0" w:color="auto" w:frame="1"/>
          <w:lang w:eastAsia="en-IE"/>
        </w:rPr>
        <w:t>9</w:t>
      </w:r>
      <w:r w:rsidRPr="00E413E9">
        <w:rPr>
          <w:sz w:val="24"/>
          <w:szCs w:val="24"/>
          <w:bdr w:val="none" w:sz="0" w:space="0" w:color="auto" w:frame="1"/>
          <w:lang w:eastAsia="en-IE"/>
        </w:rPr>
        <w:t xml:space="preserve"> per cent year-on-year in Q</w:t>
      </w:r>
      <w:r w:rsidR="00001487">
        <w:rPr>
          <w:sz w:val="24"/>
          <w:szCs w:val="24"/>
          <w:bdr w:val="none" w:sz="0" w:space="0" w:color="auto" w:frame="1"/>
          <w:lang w:eastAsia="en-IE"/>
        </w:rPr>
        <w:t>4</w:t>
      </w:r>
      <w:r w:rsidRPr="00E413E9">
        <w:rPr>
          <w:sz w:val="24"/>
          <w:szCs w:val="24"/>
          <w:bdr w:val="none" w:sz="0" w:space="0" w:color="auto" w:frame="1"/>
          <w:lang w:eastAsia="en-IE"/>
        </w:rPr>
        <w:t xml:space="preserve"> of 2021 – this growth rate is the highest since a rate of </w:t>
      </w:r>
      <w:r w:rsidR="00B52CBB">
        <w:rPr>
          <w:sz w:val="24"/>
          <w:szCs w:val="24"/>
          <w:bdr w:val="none" w:sz="0" w:space="0" w:color="auto" w:frame="1"/>
          <w:lang w:eastAsia="en-IE"/>
        </w:rPr>
        <w:t xml:space="preserve">9.3 </w:t>
      </w:r>
      <w:r w:rsidRPr="00E413E9">
        <w:rPr>
          <w:sz w:val="24"/>
          <w:szCs w:val="24"/>
          <w:bdr w:val="none" w:sz="0" w:space="0" w:color="auto" w:frame="1"/>
          <w:lang w:eastAsia="en-IE"/>
        </w:rPr>
        <w:t>per cent in Q</w:t>
      </w:r>
      <w:r w:rsidR="00B52CBB">
        <w:rPr>
          <w:sz w:val="24"/>
          <w:szCs w:val="24"/>
          <w:bdr w:val="none" w:sz="0" w:space="0" w:color="auto" w:frame="1"/>
          <w:lang w:eastAsia="en-IE"/>
        </w:rPr>
        <w:t>4</w:t>
      </w:r>
      <w:r w:rsidRPr="00E413E9">
        <w:rPr>
          <w:sz w:val="24"/>
          <w:szCs w:val="24"/>
          <w:bdr w:val="none" w:sz="0" w:space="0" w:color="auto" w:frame="1"/>
          <w:lang w:eastAsia="en-IE"/>
        </w:rPr>
        <w:t xml:space="preserve"> 201</w:t>
      </w:r>
      <w:r w:rsidR="00B52CBB">
        <w:rPr>
          <w:sz w:val="24"/>
          <w:szCs w:val="24"/>
          <w:bdr w:val="none" w:sz="0" w:space="0" w:color="auto" w:frame="1"/>
          <w:lang w:eastAsia="en-IE"/>
        </w:rPr>
        <w:t>7</w:t>
      </w:r>
      <w:r w:rsidRPr="00E413E9">
        <w:rPr>
          <w:sz w:val="24"/>
          <w:szCs w:val="24"/>
          <w:bdr w:val="none" w:sz="0" w:space="0" w:color="auto" w:frame="1"/>
          <w:lang w:eastAsia="en-IE"/>
        </w:rPr>
        <w:t>.</w:t>
      </w:r>
    </w:p>
    <w:p w14:paraId="071852DD" w14:textId="2E4AF4E5" w:rsidR="00E413E9" w:rsidRPr="00E413E9" w:rsidRDefault="00E413E9" w:rsidP="007F2366">
      <w:pPr>
        <w:numPr>
          <w:ilvl w:val="0"/>
          <w:numId w:val="6"/>
        </w:numPr>
        <w:contextualSpacing/>
        <w:jc w:val="both"/>
        <w:rPr>
          <w:sz w:val="24"/>
          <w:szCs w:val="24"/>
          <w:lang w:eastAsia="en-IE"/>
        </w:rPr>
      </w:pPr>
      <w:r w:rsidRPr="00E413E9">
        <w:rPr>
          <w:sz w:val="24"/>
          <w:szCs w:val="24"/>
          <w:bdr w:val="none" w:sz="0" w:space="0" w:color="auto" w:frame="1"/>
          <w:lang w:eastAsia="en-IE"/>
        </w:rPr>
        <w:t xml:space="preserve">Year-on-year rent price inflation in Dublin stood at </w:t>
      </w:r>
      <w:r w:rsidR="00B52CBB">
        <w:rPr>
          <w:sz w:val="24"/>
          <w:szCs w:val="24"/>
          <w:bdr w:val="none" w:sz="0" w:space="0" w:color="auto" w:frame="1"/>
          <w:lang w:eastAsia="en-IE"/>
        </w:rPr>
        <w:t>8.9</w:t>
      </w:r>
      <w:r w:rsidRPr="00E413E9">
        <w:rPr>
          <w:sz w:val="24"/>
          <w:szCs w:val="24"/>
          <w:bdr w:val="none" w:sz="0" w:space="0" w:color="auto" w:frame="1"/>
          <w:lang w:eastAsia="en-IE"/>
        </w:rPr>
        <w:t xml:space="preserve"> per cent, and outside of </w:t>
      </w:r>
      <w:r w:rsidR="00B52CBB">
        <w:rPr>
          <w:sz w:val="24"/>
          <w:szCs w:val="24"/>
          <w:bdr w:val="none" w:sz="0" w:space="0" w:color="auto" w:frame="1"/>
          <w:lang w:eastAsia="en-IE"/>
        </w:rPr>
        <w:t xml:space="preserve">the Greater </w:t>
      </w:r>
      <w:r w:rsidRPr="00E413E9">
        <w:rPr>
          <w:sz w:val="24"/>
          <w:szCs w:val="24"/>
          <w:bdr w:val="none" w:sz="0" w:space="0" w:color="auto" w:frame="1"/>
          <w:lang w:eastAsia="en-IE"/>
        </w:rPr>
        <w:t xml:space="preserve">Dublin </w:t>
      </w:r>
      <w:r w:rsidR="00B52CBB">
        <w:rPr>
          <w:sz w:val="24"/>
          <w:szCs w:val="24"/>
          <w:bdr w:val="none" w:sz="0" w:space="0" w:color="auto" w:frame="1"/>
          <w:lang w:eastAsia="en-IE"/>
        </w:rPr>
        <w:t xml:space="preserve">Area </w:t>
      </w:r>
      <w:r w:rsidRPr="00E413E9">
        <w:rPr>
          <w:sz w:val="24"/>
          <w:szCs w:val="24"/>
          <w:bdr w:val="none" w:sz="0" w:space="0" w:color="auto" w:frame="1"/>
          <w:lang w:eastAsia="en-IE"/>
        </w:rPr>
        <w:t>at 1</w:t>
      </w:r>
      <w:r w:rsidR="00B52CBB">
        <w:rPr>
          <w:sz w:val="24"/>
          <w:szCs w:val="24"/>
          <w:bdr w:val="none" w:sz="0" w:space="0" w:color="auto" w:frame="1"/>
          <w:lang w:eastAsia="en-IE"/>
        </w:rPr>
        <w:t>2.1</w:t>
      </w:r>
      <w:r w:rsidRPr="00E413E9">
        <w:rPr>
          <w:sz w:val="24"/>
          <w:szCs w:val="24"/>
          <w:bdr w:val="none" w:sz="0" w:space="0" w:color="auto" w:frame="1"/>
          <w:lang w:eastAsia="en-IE"/>
        </w:rPr>
        <w:t xml:space="preserve"> per cent.</w:t>
      </w:r>
    </w:p>
    <w:p w14:paraId="4B2F9491" w14:textId="632219F7" w:rsidR="00E413E9" w:rsidRPr="00E413E9" w:rsidRDefault="00E413E9" w:rsidP="007F2366">
      <w:pPr>
        <w:numPr>
          <w:ilvl w:val="0"/>
          <w:numId w:val="6"/>
        </w:numPr>
        <w:contextualSpacing/>
        <w:jc w:val="both"/>
        <w:rPr>
          <w:sz w:val="24"/>
          <w:szCs w:val="24"/>
          <w:lang w:eastAsia="en-IE"/>
        </w:rPr>
      </w:pPr>
      <w:r w:rsidRPr="00E413E9">
        <w:rPr>
          <w:sz w:val="24"/>
          <w:szCs w:val="24"/>
          <w:bdr w:val="none" w:sz="0" w:space="0" w:color="auto" w:frame="1"/>
          <w:lang w:eastAsia="en-IE"/>
        </w:rPr>
        <w:t>The national standardised average rent stood at €1,</w:t>
      </w:r>
      <w:r w:rsidR="00B52CBB">
        <w:rPr>
          <w:sz w:val="24"/>
          <w:szCs w:val="24"/>
          <w:bdr w:val="none" w:sz="0" w:space="0" w:color="auto" w:frame="1"/>
          <w:lang w:eastAsia="en-IE"/>
        </w:rPr>
        <w:t>415</w:t>
      </w:r>
      <w:r w:rsidRPr="00E413E9">
        <w:rPr>
          <w:sz w:val="24"/>
          <w:szCs w:val="24"/>
          <w:bdr w:val="none" w:sz="0" w:space="0" w:color="auto" w:frame="1"/>
          <w:lang w:eastAsia="en-IE"/>
        </w:rPr>
        <w:t xml:space="preserve"> in </w:t>
      </w:r>
      <w:r w:rsidR="00B52CBB">
        <w:rPr>
          <w:sz w:val="24"/>
          <w:szCs w:val="24"/>
          <w:bdr w:val="none" w:sz="0" w:space="0" w:color="auto" w:frame="1"/>
          <w:lang w:eastAsia="en-IE"/>
        </w:rPr>
        <w:t>Q4</w:t>
      </w:r>
      <w:r w:rsidRPr="00E413E9">
        <w:rPr>
          <w:sz w:val="24"/>
          <w:szCs w:val="24"/>
          <w:bdr w:val="none" w:sz="0" w:space="0" w:color="auto" w:frame="1"/>
          <w:lang w:eastAsia="en-IE"/>
        </w:rPr>
        <w:t xml:space="preserve"> 2021.</w:t>
      </w:r>
    </w:p>
    <w:p w14:paraId="7B6365EC" w14:textId="3FB120E3" w:rsidR="00E413E9" w:rsidRPr="00E413E9" w:rsidRDefault="00E413E9" w:rsidP="007F2366">
      <w:pPr>
        <w:numPr>
          <w:ilvl w:val="0"/>
          <w:numId w:val="6"/>
        </w:numPr>
        <w:contextualSpacing/>
        <w:jc w:val="both"/>
        <w:rPr>
          <w:sz w:val="24"/>
          <w:szCs w:val="24"/>
          <w:lang w:eastAsia="en-IE"/>
        </w:rPr>
      </w:pPr>
      <w:r w:rsidRPr="00E413E9">
        <w:rPr>
          <w:sz w:val="24"/>
          <w:szCs w:val="24"/>
          <w:bdr w:val="none" w:sz="0" w:space="0" w:color="auto" w:frame="1"/>
          <w:lang w:eastAsia="en-IE"/>
        </w:rPr>
        <w:lastRenderedPageBreak/>
        <w:t>In Q</w:t>
      </w:r>
      <w:r w:rsidR="00B52CBB">
        <w:rPr>
          <w:sz w:val="24"/>
          <w:szCs w:val="24"/>
          <w:bdr w:val="none" w:sz="0" w:space="0" w:color="auto" w:frame="1"/>
          <w:lang w:eastAsia="en-IE"/>
        </w:rPr>
        <w:t xml:space="preserve">4 </w:t>
      </w:r>
      <w:r w:rsidRPr="00E413E9">
        <w:rPr>
          <w:sz w:val="24"/>
          <w:szCs w:val="24"/>
          <w:bdr w:val="none" w:sz="0" w:space="0" w:color="auto" w:frame="1"/>
          <w:lang w:eastAsia="en-IE"/>
        </w:rPr>
        <w:t>2021, the standardised average rent in Dublin stood at €1,</w:t>
      </w:r>
      <w:r w:rsidR="00546D50">
        <w:rPr>
          <w:sz w:val="24"/>
          <w:szCs w:val="24"/>
          <w:bdr w:val="none" w:sz="0" w:space="0" w:color="auto" w:frame="1"/>
          <w:lang w:eastAsia="en-IE"/>
        </w:rPr>
        <w:t>972</w:t>
      </w:r>
      <w:r w:rsidRPr="00E413E9">
        <w:rPr>
          <w:sz w:val="24"/>
          <w:szCs w:val="24"/>
          <w:bdr w:val="none" w:sz="0" w:space="0" w:color="auto" w:frame="1"/>
          <w:lang w:eastAsia="en-IE"/>
        </w:rPr>
        <w:t xml:space="preserve"> per month, which was significantly higher than the rent levels outside Dublin</w:t>
      </w:r>
      <w:r w:rsidR="00546D50">
        <w:rPr>
          <w:sz w:val="24"/>
          <w:szCs w:val="24"/>
          <w:bdr w:val="none" w:sz="0" w:space="0" w:color="auto" w:frame="1"/>
          <w:lang w:eastAsia="en-IE"/>
        </w:rPr>
        <w:t xml:space="preserve">, </w:t>
      </w:r>
      <w:r w:rsidRPr="00E413E9">
        <w:rPr>
          <w:sz w:val="24"/>
          <w:szCs w:val="24"/>
          <w:bdr w:val="none" w:sz="0" w:space="0" w:color="auto" w:frame="1"/>
          <w:lang w:eastAsia="en-IE"/>
        </w:rPr>
        <w:t>where the standardised average rent was €1,</w:t>
      </w:r>
      <w:r w:rsidR="00546D50">
        <w:rPr>
          <w:sz w:val="24"/>
          <w:szCs w:val="24"/>
          <w:bdr w:val="none" w:sz="0" w:space="0" w:color="auto" w:frame="1"/>
          <w:lang w:eastAsia="en-IE"/>
        </w:rPr>
        <w:t>104</w:t>
      </w:r>
      <w:r w:rsidRPr="00E413E9">
        <w:rPr>
          <w:sz w:val="24"/>
          <w:szCs w:val="24"/>
          <w:bdr w:val="none" w:sz="0" w:space="0" w:color="auto" w:frame="1"/>
          <w:lang w:eastAsia="en-IE"/>
        </w:rPr>
        <w:t>.</w:t>
      </w:r>
    </w:p>
    <w:p w14:paraId="2F4A1A7A" w14:textId="10670C35" w:rsidR="00E413E9" w:rsidRPr="00E413E9" w:rsidRDefault="00546D50" w:rsidP="007F2366">
      <w:pPr>
        <w:numPr>
          <w:ilvl w:val="0"/>
          <w:numId w:val="6"/>
        </w:numPr>
        <w:contextualSpacing/>
        <w:jc w:val="both"/>
        <w:rPr>
          <w:sz w:val="24"/>
          <w:szCs w:val="24"/>
          <w:lang w:eastAsia="en-IE"/>
        </w:rPr>
      </w:pPr>
      <w:r>
        <w:rPr>
          <w:sz w:val="24"/>
          <w:szCs w:val="24"/>
          <w:bdr w:val="none" w:sz="0" w:space="0" w:color="auto" w:frame="1"/>
          <w:lang w:eastAsia="en-IE"/>
        </w:rPr>
        <w:t>In Q4 2021, the</w:t>
      </w:r>
      <w:r w:rsidR="00E413E9" w:rsidRPr="00E413E9">
        <w:rPr>
          <w:sz w:val="24"/>
          <w:szCs w:val="24"/>
          <w:bdr w:val="none" w:sz="0" w:space="0" w:color="auto" w:frame="1"/>
          <w:lang w:eastAsia="en-IE"/>
        </w:rPr>
        <w:t xml:space="preserve"> standardised average rent in the GDA (excluding Dublin) stood at €1,39</w:t>
      </w:r>
      <w:r>
        <w:rPr>
          <w:sz w:val="24"/>
          <w:szCs w:val="24"/>
          <w:bdr w:val="none" w:sz="0" w:space="0" w:color="auto" w:frame="1"/>
          <w:lang w:eastAsia="en-IE"/>
        </w:rPr>
        <w:t>3</w:t>
      </w:r>
      <w:r w:rsidR="00E413E9" w:rsidRPr="00E413E9">
        <w:rPr>
          <w:sz w:val="24"/>
          <w:szCs w:val="24"/>
          <w:bdr w:val="none" w:sz="0" w:space="0" w:color="auto" w:frame="1"/>
          <w:lang w:eastAsia="en-IE"/>
        </w:rPr>
        <w:t>.</w:t>
      </w:r>
    </w:p>
    <w:p w14:paraId="48E68B05" w14:textId="7E4BEFFC" w:rsidR="00E413E9" w:rsidRPr="00E413E9" w:rsidRDefault="00E413E9" w:rsidP="007F2366">
      <w:pPr>
        <w:numPr>
          <w:ilvl w:val="0"/>
          <w:numId w:val="6"/>
        </w:numPr>
        <w:contextualSpacing/>
        <w:jc w:val="both"/>
        <w:rPr>
          <w:sz w:val="24"/>
          <w:szCs w:val="24"/>
          <w:lang w:eastAsia="en-IE"/>
        </w:rPr>
      </w:pPr>
      <w:r w:rsidRPr="00E413E9">
        <w:rPr>
          <w:sz w:val="24"/>
          <w:szCs w:val="24"/>
          <w:bdr w:val="none" w:sz="0" w:space="0" w:color="auto" w:frame="1"/>
          <w:lang w:eastAsia="en-IE"/>
        </w:rPr>
        <w:t>The standardised average rent outside of the GDA in Q</w:t>
      </w:r>
      <w:r w:rsidR="00546D50">
        <w:rPr>
          <w:sz w:val="24"/>
          <w:szCs w:val="24"/>
          <w:bdr w:val="none" w:sz="0" w:space="0" w:color="auto" w:frame="1"/>
          <w:lang w:eastAsia="en-IE"/>
        </w:rPr>
        <w:t>4</w:t>
      </w:r>
      <w:r w:rsidRPr="00E413E9">
        <w:rPr>
          <w:sz w:val="24"/>
          <w:szCs w:val="24"/>
          <w:bdr w:val="none" w:sz="0" w:space="0" w:color="auto" w:frame="1"/>
          <w:lang w:eastAsia="en-IE"/>
        </w:rPr>
        <w:t xml:space="preserve"> 2021 was €1,0</w:t>
      </w:r>
      <w:r w:rsidR="00546D50">
        <w:rPr>
          <w:sz w:val="24"/>
          <w:szCs w:val="24"/>
          <w:bdr w:val="none" w:sz="0" w:space="0" w:color="auto" w:frame="1"/>
          <w:lang w:eastAsia="en-IE"/>
        </w:rPr>
        <w:t>59</w:t>
      </w:r>
      <w:r w:rsidRPr="00E413E9">
        <w:rPr>
          <w:sz w:val="24"/>
          <w:szCs w:val="24"/>
          <w:bdr w:val="none" w:sz="0" w:space="0" w:color="auto" w:frame="1"/>
          <w:lang w:eastAsia="en-IE"/>
        </w:rPr>
        <w:t xml:space="preserve">. </w:t>
      </w:r>
    </w:p>
    <w:p w14:paraId="1849AF68" w14:textId="77777777" w:rsidR="00E413E9" w:rsidRPr="00E413E9" w:rsidRDefault="00E413E9" w:rsidP="007F2366">
      <w:pPr>
        <w:spacing w:after="0" w:line="240" w:lineRule="auto"/>
        <w:contextualSpacing/>
        <w:jc w:val="both"/>
        <w:rPr>
          <w:sz w:val="24"/>
          <w:szCs w:val="24"/>
        </w:rPr>
      </w:pPr>
    </w:p>
    <w:p w14:paraId="5DDAEFA9" w14:textId="77777777" w:rsidR="00E413E9" w:rsidRPr="00E413E9" w:rsidRDefault="00E413E9" w:rsidP="007F2366">
      <w:pPr>
        <w:spacing w:after="0" w:line="240" w:lineRule="auto"/>
        <w:contextualSpacing/>
        <w:jc w:val="both"/>
        <w:rPr>
          <w:b/>
          <w:bCs/>
          <w:sz w:val="24"/>
          <w:szCs w:val="24"/>
        </w:rPr>
      </w:pPr>
      <w:r w:rsidRPr="00E413E9">
        <w:rPr>
          <w:b/>
          <w:bCs/>
          <w:sz w:val="24"/>
          <w:szCs w:val="24"/>
        </w:rPr>
        <w:t>Central Statistics Office (CSO)</w:t>
      </w:r>
    </w:p>
    <w:p w14:paraId="33292027" w14:textId="77777777" w:rsidR="00E413E9" w:rsidRPr="00E413E9" w:rsidRDefault="00E413E9" w:rsidP="007F2366">
      <w:pPr>
        <w:spacing w:after="0" w:line="240" w:lineRule="auto"/>
        <w:contextualSpacing/>
        <w:jc w:val="both"/>
        <w:rPr>
          <w:b/>
          <w:bCs/>
          <w:sz w:val="24"/>
          <w:szCs w:val="24"/>
        </w:rPr>
      </w:pPr>
    </w:p>
    <w:p w14:paraId="4BC35860" w14:textId="59C1153C" w:rsidR="00E413E9" w:rsidRPr="00E413E9" w:rsidRDefault="00E413E9" w:rsidP="007F2366">
      <w:pPr>
        <w:spacing w:after="0" w:line="240" w:lineRule="auto"/>
        <w:contextualSpacing/>
        <w:jc w:val="both"/>
        <w:rPr>
          <w:sz w:val="24"/>
          <w:szCs w:val="24"/>
        </w:rPr>
      </w:pPr>
      <w:r w:rsidRPr="00E413E9">
        <w:rPr>
          <w:sz w:val="24"/>
          <w:szCs w:val="24"/>
        </w:rPr>
        <w:t xml:space="preserve">The CSO’s private rent index is based on a sample survey of letting agents. It shows that between April 2008 and December 2010, average private sector rents declined by 25.7 per cent. The market bottomed out at the end of 2010, and between December 2010 and </w:t>
      </w:r>
      <w:r w:rsidR="001A30D5">
        <w:rPr>
          <w:sz w:val="24"/>
          <w:szCs w:val="24"/>
        </w:rPr>
        <w:t>April</w:t>
      </w:r>
      <w:r w:rsidRPr="00E413E9">
        <w:rPr>
          <w:sz w:val="24"/>
          <w:szCs w:val="24"/>
        </w:rPr>
        <w:t xml:space="preserve"> 202</w:t>
      </w:r>
      <w:r w:rsidR="00C0346A">
        <w:rPr>
          <w:sz w:val="24"/>
          <w:szCs w:val="24"/>
        </w:rPr>
        <w:t>2</w:t>
      </w:r>
      <w:r w:rsidRPr="00E413E9">
        <w:rPr>
          <w:sz w:val="24"/>
          <w:szCs w:val="24"/>
        </w:rPr>
        <w:t xml:space="preserve">, average rents have increased by </w:t>
      </w:r>
      <w:r w:rsidR="00C0346A">
        <w:rPr>
          <w:sz w:val="24"/>
          <w:szCs w:val="24"/>
        </w:rPr>
        <w:t>9</w:t>
      </w:r>
      <w:r w:rsidR="001A30D5">
        <w:rPr>
          <w:sz w:val="24"/>
          <w:szCs w:val="24"/>
        </w:rPr>
        <w:t>2.8</w:t>
      </w:r>
      <w:r w:rsidRPr="00E413E9">
        <w:rPr>
          <w:sz w:val="24"/>
          <w:szCs w:val="24"/>
        </w:rPr>
        <w:t xml:space="preserve"> per cent. There was some modest softening in the market </w:t>
      </w:r>
      <w:r w:rsidR="00C0346A">
        <w:rPr>
          <w:sz w:val="24"/>
          <w:szCs w:val="24"/>
        </w:rPr>
        <w:t>at the beginning of the</w:t>
      </w:r>
      <w:r w:rsidRPr="00E413E9">
        <w:rPr>
          <w:sz w:val="24"/>
          <w:szCs w:val="24"/>
        </w:rPr>
        <w:t xml:space="preserve"> COVID-19</w:t>
      </w:r>
      <w:r w:rsidR="00C0346A">
        <w:rPr>
          <w:sz w:val="24"/>
          <w:szCs w:val="24"/>
        </w:rPr>
        <w:t xml:space="preserve"> pandemic</w:t>
      </w:r>
      <w:r w:rsidRPr="00E413E9">
        <w:rPr>
          <w:sz w:val="24"/>
          <w:szCs w:val="24"/>
        </w:rPr>
        <w:t>, but the upward pressure resumed</w:t>
      </w:r>
      <w:r w:rsidR="00C0346A">
        <w:rPr>
          <w:sz w:val="24"/>
          <w:szCs w:val="24"/>
        </w:rPr>
        <w:t xml:space="preserve"> subsequently</w:t>
      </w:r>
      <w:r w:rsidRPr="00E413E9">
        <w:rPr>
          <w:sz w:val="24"/>
          <w:szCs w:val="24"/>
        </w:rPr>
        <w:t xml:space="preserve">. In </w:t>
      </w:r>
      <w:r w:rsidR="008D1E0C">
        <w:rPr>
          <w:sz w:val="24"/>
          <w:szCs w:val="24"/>
        </w:rPr>
        <w:t xml:space="preserve">April </w:t>
      </w:r>
      <w:r w:rsidRPr="00E413E9">
        <w:rPr>
          <w:sz w:val="24"/>
          <w:szCs w:val="24"/>
        </w:rPr>
        <w:t>202</w:t>
      </w:r>
      <w:r w:rsidR="00C0346A">
        <w:rPr>
          <w:sz w:val="24"/>
          <w:szCs w:val="24"/>
        </w:rPr>
        <w:t>2</w:t>
      </w:r>
      <w:r w:rsidRPr="00E413E9">
        <w:rPr>
          <w:sz w:val="24"/>
          <w:szCs w:val="24"/>
        </w:rPr>
        <w:t xml:space="preserve">, there was a year-on-year increase of </w:t>
      </w:r>
      <w:r w:rsidR="00C0346A">
        <w:rPr>
          <w:sz w:val="24"/>
          <w:szCs w:val="24"/>
        </w:rPr>
        <w:t>9.</w:t>
      </w:r>
      <w:r w:rsidR="008D1E0C">
        <w:rPr>
          <w:sz w:val="24"/>
          <w:szCs w:val="24"/>
        </w:rPr>
        <w:t>3</w:t>
      </w:r>
      <w:r w:rsidRPr="00E413E9">
        <w:rPr>
          <w:sz w:val="24"/>
          <w:szCs w:val="24"/>
        </w:rPr>
        <w:t xml:space="preserve"> per cent. </w:t>
      </w:r>
    </w:p>
    <w:p w14:paraId="20223D68" w14:textId="77777777" w:rsidR="00E413E9" w:rsidRPr="00E413E9" w:rsidRDefault="00E413E9" w:rsidP="007F2366">
      <w:pPr>
        <w:spacing w:after="0" w:line="240" w:lineRule="auto"/>
        <w:contextualSpacing/>
        <w:jc w:val="both"/>
        <w:rPr>
          <w:sz w:val="24"/>
          <w:szCs w:val="24"/>
        </w:rPr>
      </w:pPr>
    </w:p>
    <w:p w14:paraId="5C9A9326" w14:textId="19AA532D" w:rsidR="00E413E9" w:rsidRDefault="00E413E9" w:rsidP="007F2366">
      <w:pPr>
        <w:spacing w:after="0" w:line="240" w:lineRule="auto"/>
        <w:jc w:val="both"/>
        <w:rPr>
          <w:b/>
          <w:bCs/>
          <w:sz w:val="24"/>
          <w:szCs w:val="24"/>
        </w:rPr>
      </w:pPr>
      <w:r w:rsidRPr="00E413E9">
        <w:rPr>
          <w:b/>
          <w:bCs/>
          <w:sz w:val="24"/>
          <w:szCs w:val="24"/>
        </w:rPr>
        <w:t xml:space="preserve">Figure </w:t>
      </w:r>
      <w:r w:rsidR="00A27371">
        <w:rPr>
          <w:b/>
          <w:bCs/>
          <w:sz w:val="24"/>
          <w:szCs w:val="24"/>
        </w:rPr>
        <w:t>8</w:t>
      </w:r>
      <w:r w:rsidRPr="00E413E9">
        <w:rPr>
          <w:b/>
          <w:bCs/>
          <w:sz w:val="24"/>
          <w:szCs w:val="24"/>
        </w:rPr>
        <w:t>: CSO Average Private Rent Index</w:t>
      </w:r>
    </w:p>
    <w:p w14:paraId="683E57CD" w14:textId="77777777" w:rsidR="00C80177" w:rsidRPr="00E413E9" w:rsidRDefault="00C80177" w:rsidP="007F2366">
      <w:pPr>
        <w:spacing w:after="0" w:line="240" w:lineRule="auto"/>
        <w:jc w:val="both"/>
        <w:rPr>
          <w:b/>
          <w:bCs/>
          <w:sz w:val="24"/>
          <w:szCs w:val="24"/>
        </w:rPr>
      </w:pPr>
    </w:p>
    <w:p w14:paraId="310C06E0" w14:textId="3C4AD8B0" w:rsidR="00E413E9" w:rsidRPr="00E413E9" w:rsidRDefault="00DD1A86" w:rsidP="007F2366">
      <w:pPr>
        <w:spacing w:after="0" w:line="240" w:lineRule="auto"/>
        <w:jc w:val="both"/>
        <w:rPr>
          <w:sz w:val="24"/>
          <w:szCs w:val="24"/>
        </w:rPr>
      </w:pPr>
      <w:r>
        <w:rPr>
          <w:noProof/>
        </w:rPr>
        <w:drawing>
          <wp:inline distT="0" distB="0" distL="0" distR="0" wp14:anchorId="1E67BC1E" wp14:editId="1EF136E3">
            <wp:extent cx="5731510" cy="2573020"/>
            <wp:effectExtent l="0" t="0" r="2540" b="17780"/>
            <wp:docPr id="3" name="Chart 3">
              <a:extLst xmlns:a="http://schemas.openxmlformats.org/drawingml/2006/main">
                <a:ext uri="{FF2B5EF4-FFF2-40B4-BE49-F238E27FC236}">
                  <a16:creationId xmlns:a16="http://schemas.microsoft.com/office/drawing/2014/main" id="{F931501E-F3BF-D337-61BB-74E2FB021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7092B2" w14:textId="23ABBF7D" w:rsidR="00E413E9" w:rsidRPr="00E413E9" w:rsidRDefault="00E413E9" w:rsidP="007F2366">
      <w:pPr>
        <w:spacing w:after="0" w:line="240" w:lineRule="auto"/>
        <w:jc w:val="both"/>
      </w:pPr>
    </w:p>
    <w:p w14:paraId="3AB88FE8" w14:textId="77777777" w:rsidR="00E413E9" w:rsidRPr="00E413E9" w:rsidRDefault="00E413E9" w:rsidP="007F2366">
      <w:pPr>
        <w:spacing w:after="0" w:line="240" w:lineRule="auto"/>
        <w:jc w:val="both"/>
        <w:rPr>
          <w:sz w:val="24"/>
          <w:szCs w:val="24"/>
        </w:rPr>
      </w:pPr>
      <w:r w:rsidRPr="00E413E9">
        <w:rPr>
          <w:sz w:val="24"/>
          <w:szCs w:val="24"/>
        </w:rPr>
        <w:t>Source: CSO</w:t>
      </w:r>
    </w:p>
    <w:p w14:paraId="55757792" w14:textId="77777777" w:rsidR="00E413E9" w:rsidRPr="00E413E9" w:rsidRDefault="00E413E9" w:rsidP="007F2366">
      <w:pPr>
        <w:spacing w:after="0" w:line="240" w:lineRule="auto"/>
        <w:contextualSpacing/>
        <w:jc w:val="both"/>
        <w:rPr>
          <w:sz w:val="24"/>
          <w:szCs w:val="24"/>
        </w:rPr>
      </w:pPr>
    </w:p>
    <w:p w14:paraId="1678F009" w14:textId="77777777" w:rsidR="00E413E9" w:rsidRPr="00E413E9" w:rsidRDefault="00E413E9" w:rsidP="007F2366">
      <w:pPr>
        <w:spacing w:after="0" w:line="240" w:lineRule="auto"/>
        <w:contextualSpacing/>
        <w:jc w:val="both"/>
        <w:rPr>
          <w:b/>
          <w:bCs/>
          <w:sz w:val="24"/>
          <w:szCs w:val="24"/>
        </w:rPr>
      </w:pPr>
      <w:r w:rsidRPr="00E413E9">
        <w:rPr>
          <w:b/>
          <w:bCs/>
          <w:sz w:val="24"/>
          <w:szCs w:val="24"/>
        </w:rPr>
        <w:t>Daft.ie</w:t>
      </w:r>
    </w:p>
    <w:p w14:paraId="389D5480" w14:textId="77777777" w:rsidR="00E413E9" w:rsidRPr="00E413E9" w:rsidRDefault="00E413E9" w:rsidP="007F2366">
      <w:pPr>
        <w:spacing w:after="0" w:line="240" w:lineRule="auto"/>
        <w:contextualSpacing/>
        <w:jc w:val="both"/>
        <w:rPr>
          <w:sz w:val="24"/>
          <w:szCs w:val="24"/>
        </w:rPr>
      </w:pPr>
    </w:p>
    <w:p w14:paraId="1075C6B2" w14:textId="5A8D5F02" w:rsidR="00D16B20" w:rsidRDefault="00E413E9" w:rsidP="007F2366">
      <w:pPr>
        <w:spacing w:after="0" w:line="240" w:lineRule="auto"/>
        <w:contextualSpacing/>
        <w:jc w:val="both"/>
        <w:rPr>
          <w:sz w:val="24"/>
          <w:szCs w:val="24"/>
        </w:rPr>
      </w:pPr>
      <w:r w:rsidRPr="00E413E9">
        <w:rPr>
          <w:sz w:val="24"/>
          <w:szCs w:val="24"/>
        </w:rPr>
        <w:t>The latest data on rents from Daft.ie</w:t>
      </w:r>
      <w:r w:rsidR="008D1E0C">
        <w:rPr>
          <w:rStyle w:val="FootnoteReference"/>
          <w:sz w:val="24"/>
          <w:szCs w:val="24"/>
        </w:rPr>
        <w:footnoteReference w:id="1"/>
      </w:r>
      <w:r w:rsidRPr="00E413E9">
        <w:rPr>
          <w:sz w:val="24"/>
          <w:szCs w:val="24"/>
        </w:rPr>
        <w:t xml:space="preserve"> show that a serious undersupply of rental accommodation is </w:t>
      </w:r>
      <w:r w:rsidR="008D1E0C">
        <w:rPr>
          <w:sz w:val="24"/>
          <w:szCs w:val="24"/>
        </w:rPr>
        <w:t xml:space="preserve">continuing to </w:t>
      </w:r>
      <w:r w:rsidRPr="00E413E9">
        <w:rPr>
          <w:sz w:val="24"/>
          <w:szCs w:val="24"/>
        </w:rPr>
        <w:t xml:space="preserve">put significant upward pressure on rents. Rent prices nationally increased by </w:t>
      </w:r>
      <w:r w:rsidR="00D16B20">
        <w:rPr>
          <w:sz w:val="24"/>
          <w:szCs w:val="24"/>
        </w:rPr>
        <w:t>1</w:t>
      </w:r>
      <w:r w:rsidR="008D1E0C">
        <w:rPr>
          <w:sz w:val="24"/>
          <w:szCs w:val="24"/>
        </w:rPr>
        <w:t>1.7</w:t>
      </w:r>
      <w:r w:rsidR="00D16B20">
        <w:rPr>
          <w:sz w:val="24"/>
          <w:szCs w:val="24"/>
        </w:rPr>
        <w:t xml:space="preserve"> </w:t>
      </w:r>
      <w:r w:rsidRPr="00E413E9">
        <w:rPr>
          <w:sz w:val="24"/>
          <w:szCs w:val="24"/>
        </w:rPr>
        <w:t xml:space="preserve">per cent in the </w:t>
      </w:r>
      <w:r w:rsidR="00D16B20">
        <w:rPr>
          <w:sz w:val="24"/>
          <w:szCs w:val="24"/>
        </w:rPr>
        <w:t>fi</w:t>
      </w:r>
      <w:r w:rsidR="008D1E0C">
        <w:rPr>
          <w:sz w:val="24"/>
          <w:szCs w:val="24"/>
        </w:rPr>
        <w:t xml:space="preserve">rst </w:t>
      </w:r>
      <w:r w:rsidRPr="00E413E9">
        <w:rPr>
          <w:sz w:val="24"/>
          <w:szCs w:val="24"/>
        </w:rPr>
        <w:t>quarter of 202</w:t>
      </w:r>
      <w:r w:rsidR="008D1E0C">
        <w:rPr>
          <w:sz w:val="24"/>
          <w:szCs w:val="24"/>
        </w:rPr>
        <w:t xml:space="preserve">2, which is the highest year-on-year increase since late 2016. </w:t>
      </w:r>
      <w:r w:rsidR="00D16B20">
        <w:rPr>
          <w:sz w:val="24"/>
          <w:szCs w:val="24"/>
        </w:rPr>
        <w:t xml:space="preserve"> </w:t>
      </w:r>
    </w:p>
    <w:p w14:paraId="504A04DD" w14:textId="606B9F26" w:rsidR="004F23DF" w:rsidRPr="00FC59E9" w:rsidRDefault="008D1E0C" w:rsidP="007F2366">
      <w:pPr>
        <w:pStyle w:val="NormalWeb"/>
        <w:shd w:val="clear" w:color="auto" w:fill="FFFFFF"/>
        <w:spacing w:before="225" w:beforeAutospacing="0" w:after="0" w:afterAutospacing="0"/>
        <w:jc w:val="both"/>
        <w:textAlignment w:val="baseline"/>
        <w:rPr>
          <w:rFonts w:asciiTheme="minorHAnsi" w:hAnsiTheme="minorHAnsi" w:cstheme="minorHAnsi"/>
        </w:rPr>
      </w:pPr>
      <w:r>
        <w:rPr>
          <w:rFonts w:asciiTheme="minorHAnsi" w:hAnsiTheme="minorHAnsi" w:cstheme="minorHAnsi"/>
        </w:rPr>
        <w:t>In the first quarter of 2022, t</w:t>
      </w:r>
      <w:r w:rsidR="00D16B20" w:rsidRPr="00FC59E9">
        <w:rPr>
          <w:rFonts w:asciiTheme="minorHAnsi" w:hAnsiTheme="minorHAnsi" w:cstheme="minorHAnsi"/>
        </w:rPr>
        <w:t>he average rent nationally stood at €1,5</w:t>
      </w:r>
      <w:r>
        <w:rPr>
          <w:rFonts w:asciiTheme="minorHAnsi" w:hAnsiTheme="minorHAnsi" w:cstheme="minorHAnsi"/>
        </w:rPr>
        <w:t>67</w:t>
      </w:r>
      <w:r w:rsidR="00D16B20" w:rsidRPr="00FC59E9">
        <w:rPr>
          <w:rFonts w:asciiTheme="minorHAnsi" w:hAnsiTheme="minorHAnsi" w:cstheme="minorHAnsi"/>
        </w:rPr>
        <w:t xml:space="preserve"> per month, with the average rent in Dublin standing at €2,0</w:t>
      </w:r>
      <w:r w:rsidR="00F70FEF">
        <w:rPr>
          <w:rFonts w:asciiTheme="minorHAnsi" w:hAnsiTheme="minorHAnsi" w:cstheme="minorHAnsi"/>
        </w:rPr>
        <w:t>89</w:t>
      </w:r>
      <w:r w:rsidR="004F23DF" w:rsidRPr="00FC59E9">
        <w:rPr>
          <w:rFonts w:asciiTheme="minorHAnsi" w:hAnsiTheme="minorHAnsi" w:cstheme="minorHAnsi"/>
        </w:rPr>
        <w:t xml:space="preserve">, which is </w:t>
      </w:r>
      <w:r w:rsidR="00F70FEF">
        <w:rPr>
          <w:rFonts w:asciiTheme="minorHAnsi" w:hAnsiTheme="minorHAnsi" w:cstheme="minorHAnsi"/>
        </w:rPr>
        <w:t>1</w:t>
      </w:r>
      <w:r w:rsidR="00B73C10">
        <w:rPr>
          <w:rFonts w:asciiTheme="minorHAnsi" w:hAnsiTheme="minorHAnsi" w:cstheme="minorHAnsi"/>
        </w:rPr>
        <w:t>0</w:t>
      </w:r>
      <w:r w:rsidR="00F70FEF">
        <w:rPr>
          <w:rFonts w:asciiTheme="minorHAnsi" w:hAnsiTheme="minorHAnsi" w:cstheme="minorHAnsi"/>
        </w:rPr>
        <w:t xml:space="preserve"> </w:t>
      </w:r>
      <w:r w:rsidR="004F23DF" w:rsidRPr="00FC59E9">
        <w:rPr>
          <w:rFonts w:asciiTheme="minorHAnsi" w:hAnsiTheme="minorHAnsi" w:cstheme="minorHAnsi"/>
        </w:rPr>
        <w:t xml:space="preserve">per cent higher than a year earlier. The </w:t>
      </w:r>
      <w:r w:rsidR="004F23DF" w:rsidRPr="00FC59E9">
        <w:rPr>
          <w:rFonts w:asciiTheme="minorHAnsi" w:hAnsiTheme="minorHAnsi" w:cstheme="minorHAnsi"/>
        </w:rPr>
        <w:lastRenderedPageBreak/>
        <w:t xml:space="preserve">rent increases were also substantial across other cities with a year-on-year jump of </w:t>
      </w:r>
      <w:r w:rsidR="00F70FEF">
        <w:rPr>
          <w:rFonts w:asciiTheme="minorHAnsi" w:hAnsiTheme="minorHAnsi" w:cstheme="minorHAnsi"/>
        </w:rPr>
        <w:t>10.8</w:t>
      </w:r>
      <w:r w:rsidR="004F23DF" w:rsidRPr="00FC59E9">
        <w:rPr>
          <w:rFonts w:asciiTheme="minorHAnsi" w:hAnsiTheme="minorHAnsi" w:cstheme="minorHAnsi"/>
        </w:rPr>
        <w:t xml:space="preserve"> per cent recorded in Cork, </w:t>
      </w:r>
      <w:r w:rsidR="00F70FEF">
        <w:rPr>
          <w:rFonts w:asciiTheme="minorHAnsi" w:hAnsiTheme="minorHAnsi" w:cstheme="minorHAnsi"/>
        </w:rPr>
        <w:t>13.8</w:t>
      </w:r>
      <w:r w:rsidR="004F23DF" w:rsidRPr="00FC59E9">
        <w:rPr>
          <w:rFonts w:asciiTheme="minorHAnsi" w:hAnsiTheme="minorHAnsi" w:cstheme="minorHAnsi"/>
        </w:rPr>
        <w:t xml:space="preserve"> per cent in Galway</w:t>
      </w:r>
      <w:r w:rsidR="00F70FEF">
        <w:rPr>
          <w:rFonts w:asciiTheme="minorHAnsi" w:hAnsiTheme="minorHAnsi" w:cstheme="minorHAnsi"/>
        </w:rPr>
        <w:t xml:space="preserve"> City</w:t>
      </w:r>
      <w:r w:rsidR="004F23DF" w:rsidRPr="00FC59E9">
        <w:rPr>
          <w:rFonts w:asciiTheme="minorHAnsi" w:hAnsiTheme="minorHAnsi" w:cstheme="minorHAnsi"/>
        </w:rPr>
        <w:t>, 1</w:t>
      </w:r>
      <w:r w:rsidR="00F70FEF">
        <w:rPr>
          <w:rFonts w:asciiTheme="minorHAnsi" w:hAnsiTheme="minorHAnsi" w:cstheme="minorHAnsi"/>
        </w:rPr>
        <w:t>5.5</w:t>
      </w:r>
      <w:r w:rsidR="004F23DF" w:rsidRPr="00FC59E9">
        <w:rPr>
          <w:rFonts w:asciiTheme="minorHAnsi" w:hAnsiTheme="minorHAnsi" w:cstheme="minorHAnsi"/>
        </w:rPr>
        <w:t xml:space="preserve"> per cent in Limerick </w:t>
      </w:r>
      <w:r w:rsidR="00F70FEF">
        <w:rPr>
          <w:rFonts w:asciiTheme="minorHAnsi" w:hAnsiTheme="minorHAnsi" w:cstheme="minorHAnsi"/>
        </w:rPr>
        <w:t xml:space="preserve">City </w:t>
      </w:r>
      <w:r w:rsidR="004F23DF" w:rsidRPr="00FC59E9">
        <w:rPr>
          <w:rFonts w:asciiTheme="minorHAnsi" w:hAnsiTheme="minorHAnsi" w:cstheme="minorHAnsi"/>
        </w:rPr>
        <w:t>and 1</w:t>
      </w:r>
      <w:r w:rsidR="00F70FEF">
        <w:rPr>
          <w:rFonts w:asciiTheme="minorHAnsi" w:hAnsiTheme="minorHAnsi" w:cstheme="minorHAnsi"/>
        </w:rPr>
        <w:t>6.2</w:t>
      </w:r>
      <w:r w:rsidR="004F23DF" w:rsidRPr="00FC59E9">
        <w:rPr>
          <w:rFonts w:asciiTheme="minorHAnsi" w:hAnsiTheme="minorHAnsi" w:cstheme="minorHAnsi"/>
        </w:rPr>
        <w:t xml:space="preserve"> per cent in Waterford</w:t>
      </w:r>
      <w:r w:rsidR="00F70FEF">
        <w:rPr>
          <w:rFonts w:asciiTheme="minorHAnsi" w:hAnsiTheme="minorHAnsi" w:cstheme="minorHAnsi"/>
        </w:rPr>
        <w:t xml:space="preserve"> City</w:t>
      </w:r>
      <w:r w:rsidR="004F23DF" w:rsidRPr="00FC59E9">
        <w:rPr>
          <w:rFonts w:asciiTheme="minorHAnsi" w:hAnsiTheme="minorHAnsi" w:cstheme="minorHAnsi"/>
        </w:rPr>
        <w:t>.</w:t>
      </w:r>
    </w:p>
    <w:p w14:paraId="779943A2" w14:textId="42A980E1" w:rsidR="004F23DF" w:rsidRDefault="00D16B20" w:rsidP="007F2366">
      <w:pPr>
        <w:spacing w:after="0" w:line="240" w:lineRule="auto"/>
        <w:contextualSpacing/>
        <w:jc w:val="both"/>
        <w:rPr>
          <w:sz w:val="24"/>
          <w:szCs w:val="24"/>
        </w:rPr>
      </w:pPr>
      <w:r>
        <w:rPr>
          <w:sz w:val="24"/>
          <w:szCs w:val="24"/>
        </w:rPr>
        <w:t xml:space="preserve"> </w:t>
      </w:r>
    </w:p>
    <w:p w14:paraId="5B285FF2" w14:textId="055D589C" w:rsidR="004F23DF" w:rsidRDefault="00E413E9" w:rsidP="007F2366">
      <w:pPr>
        <w:spacing w:after="0" w:line="240" w:lineRule="auto"/>
        <w:contextualSpacing/>
        <w:jc w:val="both"/>
        <w:rPr>
          <w:sz w:val="24"/>
          <w:szCs w:val="24"/>
        </w:rPr>
      </w:pPr>
      <w:r w:rsidRPr="00E413E9">
        <w:rPr>
          <w:sz w:val="24"/>
          <w:szCs w:val="24"/>
        </w:rPr>
        <w:t xml:space="preserve">The number of rental properties on Daft.ie at the beginning of </w:t>
      </w:r>
      <w:r w:rsidR="00B73C10">
        <w:rPr>
          <w:sz w:val="24"/>
          <w:szCs w:val="24"/>
        </w:rPr>
        <w:t>May</w:t>
      </w:r>
      <w:r w:rsidR="00D16B20">
        <w:rPr>
          <w:sz w:val="24"/>
          <w:szCs w:val="24"/>
        </w:rPr>
        <w:t xml:space="preserve"> </w:t>
      </w:r>
      <w:r w:rsidRPr="00E413E9">
        <w:rPr>
          <w:sz w:val="24"/>
          <w:szCs w:val="24"/>
        </w:rPr>
        <w:t>202</w:t>
      </w:r>
      <w:r w:rsidR="00D16B20">
        <w:rPr>
          <w:sz w:val="24"/>
          <w:szCs w:val="24"/>
        </w:rPr>
        <w:t>2</w:t>
      </w:r>
      <w:r w:rsidRPr="00E413E9">
        <w:rPr>
          <w:sz w:val="24"/>
          <w:szCs w:val="24"/>
        </w:rPr>
        <w:t xml:space="preserve"> </w:t>
      </w:r>
      <w:r w:rsidR="00B73C10">
        <w:rPr>
          <w:sz w:val="24"/>
          <w:szCs w:val="24"/>
        </w:rPr>
        <w:t xml:space="preserve">at just 851 homes, </w:t>
      </w:r>
      <w:r w:rsidRPr="00E413E9">
        <w:rPr>
          <w:sz w:val="24"/>
          <w:szCs w:val="24"/>
        </w:rPr>
        <w:t xml:space="preserve">was the lowest since the series commenced in </w:t>
      </w:r>
      <w:r w:rsidR="00D16B20">
        <w:rPr>
          <w:sz w:val="24"/>
          <w:szCs w:val="24"/>
        </w:rPr>
        <w:t xml:space="preserve">January </w:t>
      </w:r>
      <w:r w:rsidRPr="00E413E9">
        <w:rPr>
          <w:sz w:val="24"/>
          <w:szCs w:val="24"/>
        </w:rPr>
        <w:t xml:space="preserve">2006. </w:t>
      </w:r>
      <w:r w:rsidR="00D16B20">
        <w:rPr>
          <w:sz w:val="24"/>
          <w:szCs w:val="24"/>
        </w:rPr>
        <w:t xml:space="preserve">In Dublin, </w:t>
      </w:r>
      <w:r w:rsidR="00B73C10">
        <w:rPr>
          <w:sz w:val="24"/>
          <w:szCs w:val="24"/>
        </w:rPr>
        <w:t>46</w:t>
      </w:r>
      <w:r w:rsidR="00D16B20">
        <w:rPr>
          <w:sz w:val="24"/>
          <w:szCs w:val="24"/>
        </w:rPr>
        <w:t>2 rental properties were available, which is</w:t>
      </w:r>
      <w:r w:rsidR="00B73C10">
        <w:rPr>
          <w:sz w:val="24"/>
          <w:szCs w:val="24"/>
        </w:rPr>
        <w:t xml:space="preserve"> the lowest level of availability since the series commenced in 2006</w:t>
      </w:r>
      <w:r w:rsidR="004F23DF">
        <w:rPr>
          <w:sz w:val="24"/>
          <w:szCs w:val="24"/>
        </w:rPr>
        <w:t xml:space="preserve">. </w:t>
      </w:r>
    </w:p>
    <w:p w14:paraId="12EDB60D" w14:textId="16FD9656" w:rsidR="004F23DF" w:rsidRPr="00FC59E9" w:rsidRDefault="004F23DF" w:rsidP="007F2366">
      <w:pPr>
        <w:pStyle w:val="NormalWeb"/>
        <w:shd w:val="clear" w:color="auto" w:fill="FFFFFF"/>
        <w:spacing w:before="225" w:beforeAutospacing="0" w:after="0" w:afterAutospacing="0"/>
        <w:jc w:val="both"/>
        <w:textAlignment w:val="baseline"/>
        <w:rPr>
          <w:rFonts w:asciiTheme="minorHAnsi" w:hAnsiTheme="minorHAnsi" w:cstheme="minorHAnsi"/>
        </w:rPr>
      </w:pPr>
      <w:r w:rsidRPr="00FC59E9">
        <w:rPr>
          <w:rFonts w:asciiTheme="minorHAnsi" w:hAnsiTheme="minorHAnsi" w:cstheme="minorHAnsi"/>
        </w:rPr>
        <w:t>The sharp increase in rents around the country reflects a worsening of the unprecedented scarcity of rental homes</w:t>
      </w:r>
      <w:r w:rsidR="00874EA4" w:rsidRPr="00FC59E9">
        <w:rPr>
          <w:rFonts w:asciiTheme="minorHAnsi" w:hAnsiTheme="minorHAnsi" w:cstheme="minorHAnsi"/>
        </w:rPr>
        <w:t>.</w:t>
      </w:r>
      <w:r w:rsidR="00B73C10">
        <w:rPr>
          <w:rFonts w:asciiTheme="minorHAnsi" w:hAnsiTheme="minorHAnsi" w:cstheme="minorHAnsi"/>
        </w:rPr>
        <w:t xml:space="preserve"> The Daft.ie report stated that ‘</w:t>
      </w:r>
      <w:r w:rsidR="00B73C10" w:rsidRPr="0026351F">
        <w:rPr>
          <w:rFonts w:asciiTheme="minorHAnsi" w:hAnsiTheme="minorHAnsi" w:cstheme="minorHAnsi"/>
          <w:i/>
          <w:iCs/>
        </w:rPr>
        <w:t>As ever, in a rental market dogged by chronic and worsening shortage of homes, the only real solution</w:t>
      </w:r>
      <w:r w:rsidR="0026351F" w:rsidRPr="0026351F">
        <w:rPr>
          <w:rFonts w:asciiTheme="minorHAnsi" w:hAnsiTheme="minorHAnsi" w:cstheme="minorHAnsi"/>
          <w:i/>
          <w:iCs/>
        </w:rPr>
        <w:t xml:space="preserve"> is to increase the number of homes. With more pressure from certain quarters to stop new rental homes being built, policymakers must hold their nerve</w:t>
      </w:r>
      <w:r w:rsidR="0026351F">
        <w:rPr>
          <w:rFonts w:asciiTheme="minorHAnsi" w:hAnsiTheme="minorHAnsi" w:cstheme="minorHAnsi"/>
        </w:rPr>
        <w:t>.’</w:t>
      </w:r>
    </w:p>
    <w:p w14:paraId="06BF7411" w14:textId="36F5A8EC" w:rsidR="00E413E9" w:rsidRPr="00E413E9" w:rsidRDefault="00D16B20" w:rsidP="007F2366">
      <w:pPr>
        <w:spacing w:after="0" w:line="240" w:lineRule="auto"/>
        <w:contextualSpacing/>
        <w:jc w:val="both"/>
        <w:rPr>
          <w:rFonts w:cstheme="minorHAnsi"/>
          <w:sz w:val="24"/>
          <w:szCs w:val="24"/>
        </w:rPr>
      </w:pPr>
      <w:r w:rsidRPr="004F23DF">
        <w:rPr>
          <w:rFonts w:cstheme="minorHAnsi"/>
          <w:sz w:val="24"/>
          <w:szCs w:val="24"/>
        </w:rPr>
        <w:t xml:space="preserve"> </w:t>
      </w:r>
    </w:p>
    <w:p w14:paraId="79D4612D" w14:textId="77777777" w:rsidR="00E413E9" w:rsidRPr="00E413E9" w:rsidRDefault="00E413E9" w:rsidP="007F2366">
      <w:pPr>
        <w:spacing w:after="0" w:line="240" w:lineRule="auto"/>
        <w:contextualSpacing/>
        <w:jc w:val="both"/>
        <w:rPr>
          <w:sz w:val="24"/>
          <w:szCs w:val="24"/>
        </w:rPr>
      </w:pPr>
    </w:p>
    <w:p w14:paraId="63A0F39B" w14:textId="66888EA9" w:rsidR="00E413E9" w:rsidRPr="00E413E9" w:rsidRDefault="00E413E9" w:rsidP="007F2366">
      <w:pPr>
        <w:spacing w:after="0" w:line="240" w:lineRule="auto"/>
        <w:contextualSpacing/>
        <w:jc w:val="both"/>
        <w:rPr>
          <w:b/>
          <w:bCs/>
          <w:sz w:val="24"/>
          <w:szCs w:val="24"/>
        </w:rPr>
      </w:pPr>
      <w:r w:rsidRPr="00E413E9">
        <w:rPr>
          <w:b/>
          <w:bCs/>
          <w:sz w:val="24"/>
          <w:szCs w:val="24"/>
        </w:rPr>
        <w:t>All three rental indices show somewhat different magnitudes of change, but the market direction is similar in both. The lack of adequate supply has pushed rental costs up, and the only viable solution is to increase supply</w:t>
      </w:r>
      <w:r w:rsidR="009B3C84">
        <w:rPr>
          <w:b/>
          <w:bCs/>
          <w:sz w:val="24"/>
          <w:szCs w:val="24"/>
        </w:rPr>
        <w:t xml:space="preserve"> of rental properties</w:t>
      </w:r>
      <w:r w:rsidRPr="00E413E9">
        <w:rPr>
          <w:b/>
          <w:bCs/>
          <w:sz w:val="24"/>
          <w:szCs w:val="24"/>
        </w:rPr>
        <w:t>.</w:t>
      </w:r>
    </w:p>
    <w:p w14:paraId="33C2FA70" w14:textId="1FD5D4EB" w:rsidR="009B3C84" w:rsidRDefault="009B3C84" w:rsidP="007F2366">
      <w:pPr>
        <w:jc w:val="both"/>
      </w:pPr>
      <w:r>
        <w:br w:type="page"/>
      </w:r>
    </w:p>
    <w:p w14:paraId="695607F2" w14:textId="52623BB2" w:rsidR="00E413E9" w:rsidRDefault="009B3C84" w:rsidP="007F2366">
      <w:pPr>
        <w:pStyle w:val="Heading1"/>
        <w:jc w:val="both"/>
      </w:pPr>
      <w:bookmarkStart w:id="7" w:name="_Toc103266209"/>
      <w:r>
        <w:lastRenderedPageBreak/>
        <w:t>SECTION 4: THE RENTAL MARKET IN IRELAND</w:t>
      </w:r>
      <w:bookmarkEnd w:id="7"/>
    </w:p>
    <w:p w14:paraId="1D99089D" w14:textId="77777777" w:rsidR="00314D06" w:rsidRPr="00314D06" w:rsidRDefault="00314D06" w:rsidP="007F2366">
      <w:pPr>
        <w:jc w:val="both"/>
      </w:pPr>
    </w:p>
    <w:p w14:paraId="23F4459F" w14:textId="4D3A2B9E" w:rsidR="00314D06" w:rsidRDefault="00314D06" w:rsidP="007F2366">
      <w:pPr>
        <w:jc w:val="both"/>
        <w:rPr>
          <w:sz w:val="24"/>
          <w:szCs w:val="24"/>
        </w:rPr>
      </w:pPr>
      <w:r w:rsidRPr="00314D06">
        <w:rPr>
          <w:sz w:val="24"/>
          <w:szCs w:val="24"/>
        </w:rPr>
        <w:t xml:space="preserve">The foregoing analysis shows clearly the </w:t>
      </w:r>
      <w:r w:rsidR="00DE7DC6">
        <w:rPr>
          <w:sz w:val="24"/>
          <w:szCs w:val="24"/>
        </w:rPr>
        <w:t xml:space="preserve">pressures in the housing market. The high level of house prices and the cost and availability of rental properties </w:t>
      </w:r>
      <w:r w:rsidR="001D78D2">
        <w:rPr>
          <w:sz w:val="24"/>
          <w:szCs w:val="24"/>
        </w:rPr>
        <w:t>are</w:t>
      </w:r>
      <w:r w:rsidR="00DE7DC6">
        <w:rPr>
          <w:sz w:val="24"/>
          <w:szCs w:val="24"/>
        </w:rPr>
        <w:t xml:space="preserve"> arguably the most pressing economic, social and political challeng</w:t>
      </w:r>
      <w:r w:rsidR="001D78D2">
        <w:rPr>
          <w:sz w:val="24"/>
          <w:szCs w:val="24"/>
        </w:rPr>
        <w:t>e</w:t>
      </w:r>
      <w:r w:rsidR="00DE7DC6">
        <w:rPr>
          <w:sz w:val="24"/>
          <w:szCs w:val="24"/>
        </w:rPr>
        <w:t xml:space="preserve">s facing Irish policymakers. </w:t>
      </w:r>
    </w:p>
    <w:p w14:paraId="437E4E9A" w14:textId="6E5C025B" w:rsidR="00DE7DC6" w:rsidRDefault="00DE7DC6" w:rsidP="007F2366">
      <w:pPr>
        <w:jc w:val="both"/>
        <w:rPr>
          <w:sz w:val="24"/>
          <w:szCs w:val="24"/>
        </w:rPr>
      </w:pPr>
      <w:r>
        <w:rPr>
          <w:sz w:val="24"/>
          <w:szCs w:val="24"/>
        </w:rPr>
        <w:t>A properly functioning housing market is an essential ingredient for a properly functioning societ</w:t>
      </w:r>
      <w:r w:rsidR="001D78D2">
        <w:rPr>
          <w:sz w:val="24"/>
          <w:szCs w:val="24"/>
        </w:rPr>
        <w:t>y</w:t>
      </w:r>
      <w:r>
        <w:rPr>
          <w:sz w:val="24"/>
          <w:szCs w:val="24"/>
        </w:rPr>
        <w:t xml:space="preserve"> and economy. </w:t>
      </w:r>
      <w:r w:rsidR="001D78D2">
        <w:rPr>
          <w:sz w:val="24"/>
          <w:szCs w:val="24"/>
        </w:rPr>
        <w:t>Within the overall housing context, a properly functioning rental market is essential. The rental market is not functioning as it should, a fact that is demonstrated by a chronic lack of rental supply and escalating rents.</w:t>
      </w:r>
    </w:p>
    <w:p w14:paraId="5AD33DDD" w14:textId="7F1B96C3" w:rsidR="00490893" w:rsidRPr="000C5C93" w:rsidRDefault="00490893" w:rsidP="007F2366">
      <w:pPr>
        <w:jc w:val="both"/>
        <w:rPr>
          <w:b/>
          <w:bCs/>
          <w:sz w:val="28"/>
          <w:szCs w:val="28"/>
        </w:rPr>
      </w:pPr>
      <w:r w:rsidRPr="000C5C93">
        <w:rPr>
          <w:b/>
          <w:bCs/>
          <w:sz w:val="28"/>
          <w:szCs w:val="28"/>
        </w:rPr>
        <w:t>REGISTRATION OF TENANCIES</w:t>
      </w:r>
    </w:p>
    <w:p w14:paraId="06D5D7B5" w14:textId="352735AE" w:rsidR="001D78D2" w:rsidRDefault="00AA3990" w:rsidP="007F2366">
      <w:pPr>
        <w:jc w:val="both"/>
        <w:rPr>
          <w:sz w:val="24"/>
          <w:szCs w:val="24"/>
        </w:rPr>
      </w:pPr>
      <w:r>
        <w:rPr>
          <w:sz w:val="24"/>
          <w:szCs w:val="24"/>
        </w:rPr>
        <w:t>With effect from 4</w:t>
      </w:r>
      <w:r w:rsidRPr="00AA3990">
        <w:rPr>
          <w:sz w:val="24"/>
          <w:szCs w:val="24"/>
          <w:vertAlign w:val="superscript"/>
        </w:rPr>
        <w:t>th</w:t>
      </w:r>
      <w:r>
        <w:rPr>
          <w:sz w:val="24"/>
          <w:szCs w:val="24"/>
        </w:rPr>
        <w:t xml:space="preserve"> April 2022, annual registration was introduced for the rental sector. A landlord is obliged to apply to the Residential Tenancies Board (RTB) to register a tenancy, or a licence in Student Specific Accommodation, within one month of its commencement date and every year after this on the anniversary of the date that the tenancy began. This applies for as long as the tenancy / SSA licence exists. This will apply to new and existing tenancies. </w:t>
      </w:r>
    </w:p>
    <w:p w14:paraId="3C431B78" w14:textId="51387007" w:rsidR="006377F9" w:rsidRDefault="006377F9" w:rsidP="007F2366">
      <w:pPr>
        <w:jc w:val="both"/>
        <w:rPr>
          <w:sz w:val="24"/>
          <w:szCs w:val="24"/>
        </w:rPr>
      </w:pPr>
      <w:r>
        <w:rPr>
          <w:sz w:val="24"/>
          <w:szCs w:val="24"/>
        </w:rPr>
        <w:t xml:space="preserve">The RTB </w:t>
      </w:r>
      <w:r w:rsidRPr="00874EA4">
        <w:rPr>
          <w:sz w:val="24"/>
          <w:szCs w:val="24"/>
        </w:rPr>
        <w:t>remit</w:t>
      </w:r>
      <w:r>
        <w:rPr>
          <w:sz w:val="24"/>
          <w:szCs w:val="24"/>
        </w:rPr>
        <w:t xml:space="preserve"> does not apply in a number of specific cases. These include:</w:t>
      </w:r>
    </w:p>
    <w:p w14:paraId="09C5E7AF" w14:textId="789BE001" w:rsidR="006377F9" w:rsidRPr="00D45170" w:rsidRDefault="006377F9" w:rsidP="007F2366">
      <w:pPr>
        <w:pStyle w:val="ListParagraph"/>
        <w:numPr>
          <w:ilvl w:val="0"/>
          <w:numId w:val="11"/>
        </w:numPr>
        <w:jc w:val="both"/>
        <w:rPr>
          <w:sz w:val="24"/>
          <w:szCs w:val="24"/>
        </w:rPr>
      </w:pPr>
      <w:r w:rsidRPr="00D45170">
        <w:rPr>
          <w:sz w:val="24"/>
          <w:szCs w:val="24"/>
        </w:rPr>
        <w:t>Tenancies in local authority housing or under shared ownership lease arrangements.</w:t>
      </w:r>
    </w:p>
    <w:p w14:paraId="0EED6E71" w14:textId="1AD5919F" w:rsidR="006377F9" w:rsidRPr="00D45170" w:rsidRDefault="006377F9" w:rsidP="007F2366">
      <w:pPr>
        <w:pStyle w:val="ListParagraph"/>
        <w:numPr>
          <w:ilvl w:val="0"/>
          <w:numId w:val="11"/>
        </w:numPr>
        <w:jc w:val="both"/>
        <w:rPr>
          <w:sz w:val="24"/>
          <w:szCs w:val="24"/>
        </w:rPr>
      </w:pPr>
      <w:r w:rsidRPr="00D45170">
        <w:rPr>
          <w:sz w:val="24"/>
          <w:szCs w:val="24"/>
        </w:rPr>
        <w:t>Holiday letting agreements.</w:t>
      </w:r>
    </w:p>
    <w:p w14:paraId="0E404BC5" w14:textId="4B15A9BE" w:rsidR="006377F9" w:rsidRPr="00D45170" w:rsidRDefault="006377F9" w:rsidP="007F2366">
      <w:pPr>
        <w:pStyle w:val="ListParagraph"/>
        <w:numPr>
          <w:ilvl w:val="0"/>
          <w:numId w:val="11"/>
        </w:numPr>
        <w:jc w:val="both"/>
        <w:rPr>
          <w:sz w:val="24"/>
          <w:szCs w:val="24"/>
        </w:rPr>
      </w:pPr>
      <w:r w:rsidRPr="00D45170">
        <w:rPr>
          <w:sz w:val="24"/>
          <w:szCs w:val="24"/>
        </w:rPr>
        <w:t>The Rent a Room scheme, where the landlord and the tenant share the same self-contained property.</w:t>
      </w:r>
    </w:p>
    <w:p w14:paraId="191DCDAB" w14:textId="32D2870C" w:rsidR="006377F9" w:rsidRPr="00D45170" w:rsidRDefault="00D45170" w:rsidP="007F2366">
      <w:pPr>
        <w:pStyle w:val="ListParagraph"/>
        <w:numPr>
          <w:ilvl w:val="0"/>
          <w:numId w:val="11"/>
        </w:numPr>
        <w:jc w:val="both"/>
        <w:rPr>
          <w:sz w:val="24"/>
          <w:szCs w:val="24"/>
        </w:rPr>
      </w:pPr>
      <w:r w:rsidRPr="00D45170">
        <w:rPr>
          <w:sz w:val="24"/>
          <w:szCs w:val="24"/>
        </w:rPr>
        <w:t>If a tenant lives with the spouse, civil partner, parent or child of the landlord and there is no written letting agreement in place.</w:t>
      </w:r>
    </w:p>
    <w:p w14:paraId="519393C0" w14:textId="7CB19B57" w:rsidR="00D45170" w:rsidRPr="00D45170" w:rsidRDefault="00D45170" w:rsidP="007F2366">
      <w:pPr>
        <w:pStyle w:val="ListParagraph"/>
        <w:numPr>
          <w:ilvl w:val="0"/>
          <w:numId w:val="11"/>
        </w:numPr>
        <w:jc w:val="both"/>
        <w:rPr>
          <w:sz w:val="24"/>
          <w:szCs w:val="24"/>
        </w:rPr>
      </w:pPr>
      <w:r w:rsidRPr="00D45170">
        <w:rPr>
          <w:sz w:val="24"/>
          <w:szCs w:val="24"/>
        </w:rPr>
        <w:t xml:space="preserve">If the property is a short-term let. </w:t>
      </w:r>
    </w:p>
    <w:p w14:paraId="44A15057" w14:textId="2E0D5F11" w:rsidR="00D45170" w:rsidRDefault="00D45170" w:rsidP="007F2366">
      <w:pPr>
        <w:jc w:val="both"/>
        <w:rPr>
          <w:sz w:val="24"/>
          <w:szCs w:val="24"/>
        </w:rPr>
      </w:pPr>
      <w:r>
        <w:rPr>
          <w:sz w:val="24"/>
          <w:szCs w:val="24"/>
        </w:rPr>
        <w:t xml:space="preserve">A </w:t>
      </w:r>
      <w:r w:rsidR="00B1768C">
        <w:rPr>
          <w:sz w:val="24"/>
          <w:szCs w:val="24"/>
        </w:rPr>
        <w:t xml:space="preserve">rented </w:t>
      </w:r>
      <w:r>
        <w:rPr>
          <w:sz w:val="24"/>
          <w:szCs w:val="24"/>
        </w:rPr>
        <w:t xml:space="preserve">dwelling may also be exempted where </w:t>
      </w:r>
      <w:r w:rsidR="00B1768C">
        <w:rPr>
          <w:sz w:val="24"/>
          <w:szCs w:val="24"/>
        </w:rPr>
        <w:t xml:space="preserve">that </w:t>
      </w:r>
      <w:r>
        <w:rPr>
          <w:sz w:val="24"/>
          <w:szCs w:val="24"/>
        </w:rPr>
        <w:t xml:space="preserve">dwelling may, in certain situations, be purchased by the tenant to take ownership of; or where a tenant may apply for a new tenancy on the ending of an earlier tenancy, if they can show long occupation or they have spent money on improvements of the property. </w:t>
      </w:r>
    </w:p>
    <w:p w14:paraId="5172FC0E" w14:textId="7FBFE91F" w:rsidR="00490893" w:rsidRPr="000C5C93" w:rsidRDefault="00490893" w:rsidP="007F2366">
      <w:pPr>
        <w:jc w:val="both"/>
        <w:rPr>
          <w:b/>
          <w:bCs/>
          <w:sz w:val="28"/>
          <w:szCs w:val="28"/>
        </w:rPr>
      </w:pPr>
      <w:r w:rsidRPr="000C5C93">
        <w:rPr>
          <w:b/>
          <w:bCs/>
          <w:sz w:val="28"/>
          <w:szCs w:val="28"/>
        </w:rPr>
        <w:t>TRENDS IN LANDLORD NUMBERS</w:t>
      </w:r>
    </w:p>
    <w:p w14:paraId="1363C702" w14:textId="13EB7B71" w:rsidR="00490893" w:rsidRDefault="00490893" w:rsidP="007F2366">
      <w:pPr>
        <w:jc w:val="both"/>
        <w:rPr>
          <w:sz w:val="24"/>
          <w:szCs w:val="24"/>
        </w:rPr>
      </w:pPr>
      <w:r>
        <w:rPr>
          <w:sz w:val="24"/>
          <w:szCs w:val="24"/>
        </w:rPr>
        <w:t xml:space="preserve">Data from the RTB show the trend in the number of registered private landlords and tenancies in the market. Both measures have been trending downwards in recent years. </w:t>
      </w:r>
    </w:p>
    <w:p w14:paraId="4BEB50A1" w14:textId="0089E94C" w:rsidR="00BD4033" w:rsidRDefault="00BD4033" w:rsidP="007F2366">
      <w:pPr>
        <w:jc w:val="both"/>
        <w:rPr>
          <w:sz w:val="24"/>
          <w:szCs w:val="24"/>
        </w:rPr>
      </w:pPr>
      <w:r>
        <w:rPr>
          <w:sz w:val="24"/>
          <w:szCs w:val="24"/>
        </w:rPr>
        <w:t xml:space="preserve">Between the final quarter of 2017 and the final quarter of 2020, the number of tenancies registered with the RTB declined from 313,002 to 297,837, a decline of 4.8 per cent. </w:t>
      </w:r>
    </w:p>
    <w:p w14:paraId="45C7CA52" w14:textId="1CA99119" w:rsidR="00BD4033" w:rsidRDefault="00BD4033" w:rsidP="007F2366">
      <w:pPr>
        <w:jc w:val="both"/>
        <w:rPr>
          <w:sz w:val="24"/>
          <w:szCs w:val="24"/>
        </w:rPr>
      </w:pPr>
    </w:p>
    <w:p w14:paraId="30301AD7" w14:textId="700527DA" w:rsidR="00BD4033" w:rsidRDefault="00BD4033" w:rsidP="007F2366">
      <w:pPr>
        <w:jc w:val="both"/>
        <w:rPr>
          <w:sz w:val="24"/>
          <w:szCs w:val="24"/>
        </w:rPr>
      </w:pPr>
    </w:p>
    <w:p w14:paraId="10D6C8D7" w14:textId="77777777" w:rsidR="003A26B4" w:rsidRDefault="003A26B4" w:rsidP="007F2366">
      <w:pPr>
        <w:jc w:val="both"/>
        <w:rPr>
          <w:sz w:val="24"/>
          <w:szCs w:val="24"/>
        </w:rPr>
      </w:pPr>
    </w:p>
    <w:p w14:paraId="6646D80A" w14:textId="77777777" w:rsidR="00BD4033" w:rsidRDefault="00BD4033" w:rsidP="007F2366">
      <w:pPr>
        <w:jc w:val="both"/>
        <w:rPr>
          <w:sz w:val="24"/>
          <w:szCs w:val="24"/>
        </w:rPr>
      </w:pPr>
    </w:p>
    <w:p w14:paraId="22A7FDE6" w14:textId="2863588C" w:rsidR="00490893" w:rsidRDefault="00490893" w:rsidP="007F2366">
      <w:pPr>
        <w:jc w:val="both"/>
        <w:rPr>
          <w:b/>
          <w:bCs/>
          <w:sz w:val="24"/>
          <w:szCs w:val="24"/>
        </w:rPr>
      </w:pPr>
      <w:r w:rsidRPr="00490893">
        <w:rPr>
          <w:b/>
          <w:bCs/>
          <w:sz w:val="24"/>
          <w:szCs w:val="24"/>
        </w:rPr>
        <w:t xml:space="preserve">Figure </w:t>
      </w:r>
      <w:r w:rsidR="00A27371">
        <w:rPr>
          <w:b/>
          <w:bCs/>
          <w:sz w:val="24"/>
          <w:szCs w:val="24"/>
        </w:rPr>
        <w:t>9</w:t>
      </w:r>
      <w:r w:rsidRPr="00490893">
        <w:rPr>
          <w:b/>
          <w:bCs/>
          <w:sz w:val="24"/>
          <w:szCs w:val="24"/>
        </w:rPr>
        <w:t>: Number of Private Tenancies</w:t>
      </w:r>
      <w:r w:rsidR="00BD4033">
        <w:rPr>
          <w:b/>
          <w:bCs/>
          <w:sz w:val="24"/>
          <w:szCs w:val="24"/>
        </w:rPr>
        <w:t xml:space="preserve"> Registered</w:t>
      </w:r>
      <w:r w:rsidR="00D13249">
        <w:rPr>
          <w:b/>
          <w:bCs/>
          <w:sz w:val="24"/>
          <w:szCs w:val="24"/>
        </w:rPr>
        <w:t xml:space="preserve"> (Quarterly Q4 2017-Q4 2020)</w:t>
      </w:r>
    </w:p>
    <w:p w14:paraId="21F7AD94" w14:textId="11BB28FF" w:rsidR="00BD4033" w:rsidRPr="00490893" w:rsidRDefault="00BD4033" w:rsidP="007F2366">
      <w:pPr>
        <w:jc w:val="both"/>
        <w:rPr>
          <w:b/>
          <w:bCs/>
          <w:sz w:val="24"/>
          <w:szCs w:val="24"/>
        </w:rPr>
      </w:pPr>
      <w:r>
        <w:rPr>
          <w:noProof/>
        </w:rPr>
        <w:drawing>
          <wp:inline distT="0" distB="0" distL="0" distR="0" wp14:anchorId="54208764" wp14:editId="660B5C2A">
            <wp:extent cx="5562600" cy="2743200"/>
            <wp:effectExtent l="0" t="0" r="0" b="0"/>
            <wp:docPr id="13" name="Chart 13">
              <a:extLst xmlns:a="http://schemas.openxmlformats.org/drawingml/2006/main">
                <a:ext uri="{FF2B5EF4-FFF2-40B4-BE49-F238E27FC236}">
                  <a16:creationId xmlns:a16="http://schemas.microsoft.com/office/drawing/2014/main" id="{32B4BA78-AE65-43BD-9F0C-082384FD0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C1128C" w14:textId="29A91DFA" w:rsidR="00490893" w:rsidRDefault="00BD4033" w:rsidP="007F2366">
      <w:pPr>
        <w:jc w:val="both"/>
        <w:rPr>
          <w:sz w:val="24"/>
          <w:szCs w:val="24"/>
        </w:rPr>
      </w:pPr>
      <w:r>
        <w:rPr>
          <w:sz w:val="24"/>
          <w:szCs w:val="24"/>
        </w:rPr>
        <w:t>Source: RTB</w:t>
      </w:r>
    </w:p>
    <w:p w14:paraId="57EFD40A" w14:textId="64299AFA" w:rsidR="00D13249" w:rsidRDefault="00D13249" w:rsidP="007F2366">
      <w:pPr>
        <w:jc w:val="both"/>
        <w:rPr>
          <w:sz w:val="24"/>
          <w:szCs w:val="24"/>
        </w:rPr>
      </w:pPr>
      <w:r>
        <w:rPr>
          <w:sz w:val="24"/>
          <w:szCs w:val="24"/>
        </w:rPr>
        <w:t xml:space="preserve">Figure </w:t>
      </w:r>
      <w:r w:rsidR="00A27371">
        <w:rPr>
          <w:sz w:val="24"/>
          <w:szCs w:val="24"/>
        </w:rPr>
        <w:t>10</w:t>
      </w:r>
      <w:r>
        <w:rPr>
          <w:sz w:val="24"/>
          <w:szCs w:val="24"/>
        </w:rPr>
        <w:t xml:space="preserve"> shows the number of registrations at end-year between 2005 and 2020. </w:t>
      </w:r>
      <w:r w:rsidR="00D4380D">
        <w:rPr>
          <w:sz w:val="24"/>
          <w:szCs w:val="24"/>
        </w:rPr>
        <w:t xml:space="preserve">There was strong growth in registrations from 2005 to 2016. Registrations peaked at 319,822 in 2016 and declined at an average annual rate of 1.75 per cent to reach 297,837 by the end of 2020. </w:t>
      </w:r>
    </w:p>
    <w:p w14:paraId="76298CCC" w14:textId="41C73C55" w:rsidR="00D13249" w:rsidRDefault="00D13249" w:rsidP="007F2366">
      <w:pPr>
        <w:jc w:val="both"/>
        <w:rPr>
          <w:sz w:val="24"/>
          <w:szCs w:val="24"/>
        </w:rPr>
      </w:pPr>
      <w:r w:rsidRPr="001332DC">
        <w:rPr>
          <w:b/>
          <w:bCs/>
          <w:sz w:val="24"/>
          <w:szCs w:val="24"/>
        </w:rPr>
        <w:t xml:space="preserve">Figure </w:t>
      </w:r>
      <w:r w:rsidR="00A27371">
        <w:rPr>
          <w:b/>
          <w:bCs/>
          <w:sz w:val="24"/>
          <w:szCs w:val="24"/>
        </w:rPr>
        <w:t>10</w:t>
      </w:r>
      <w:r w:rsidRPr="001332DC">
        <w:rPr>
          <w:b/>
          <w:bCs/>
          <w:sz w:val="24"/>
          <w:szCs w:val="24"/>
        </w:rPr>
        <w:t>:</w:t>
      </w:r>
      <w:r>
        <w:rPr>
          <w:sz w:val="24"/>
          <w:szCs w:val="24"/>
        </w:rPr>
        <w:t xml:space="preserve"> </w:t>
      </w:r>
      <w:r w:rsidRPr="00490893">
        <w:rPr>
          <w:b/>
          <w:bCs/>
          <w:sz w:val="24"/>
          <w:szCs w:val="24"/>
        </w:rPr>
        <w:t>Number of Private Tenancies</w:t>
      </w:r>
      <w:r>
        <w:rPr>
          <w:b/>
          <w:bCs/>
          <w:sz w:val="24"/>
          <w:szCs w:val="24"/>
        </w:rPr>
        <w:t xml:space="preserve"> Registered (Year-End)</w:t>
      </w:r>
    </w:p>
    <w:p w14:paraId="5685BC66" w14:textId="0B8386BE" w:rsidR="00D13249" w:rsidRDefault="00D13249" w:rsidP="007F2366">
      <w:pPr>
        <w:jc w:val="both"/>
        <w:rPr>
          <w:sz w:val="24"/>
          <w:szCs w:val="24"/>
        </w:rPr>
      </w:pPr>
      <w:r>
        <w:rPr>
          <w:noProof/>
        </w:rPr>
        <w:drawing>
          <wp:inline distT="0" distB="0" distL="0" distR="0" wp14:anchorId="4FD4D986" wp14:editId="0E76CAF1">
            <wp:extent cx="5731510" cy="2491105"/>
            <wp:effectExtent l="0" t="0" r="2540" b="4445"/>
            <wp:docPr id="4" name="Chart 4">
              <a:extLst xmlns:a="http://schemas.openxmlformats.org/drawingml/2006/main">
                <a:ext uri="{FF2B5EF4-FFF2-40B4-BE49-F238E27FC236}">
                  <a16:creationId xmlns:a16="http://schemas.microsoft.com/office/drawing/2014/main" id="{B1997791-A438-CA21-6B11-64FC830C1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9F3AA6" w14:textId="7BBAF32D" w:rsidR="00BD4033" w:rsidRDefault="000E60CC" w:rsidP="007F2366">
      <w:pPr>
        <w:jc w:val="both"/>
        <w:rPr>
          <w:sz w:val="24"/>
          <w:szCs w:val="24"/>
        </w:rPr>
      </w:pPr>
      <w:r>
        <w:rPr>
          <w:sz w:val="24"/>
          <w:szCs w:val="24"/>
        </w:rPr>
        <w:t xml:space="preserve">The number of landlords associated with registered private tenancies has also been declining steadily in recent years. </w:t>
      </w:r>
      <w:r w:rsidR="00CE2EBD">
        <w:rPr>
          <w:sz w:val="24"/>
          <w:szCs w:val="24"/>
        </w:rPr>
        <w:t>T</w:t>
      </w:r>
      <w:r>
        <w:rPr>
          <w:sz w:val="24"/>
          <w:szCs w:val="24"/>
        </w:rPr>
        <w:t xml:space="preserve">he </w:t>
      </w:r>
      <w:r w:rsidR="00CE2EBD">
        <w:rPr>
          <w:sz w:val="24"/>
          <w:szCs w:val="24"/>
        </w:rPr>
        <w:t xml:space="preserve">number of landlords has declined by 7,939 from a high of 173,675 in the first quarter of 2019 to 165,736 in the final quarter of 2020, a decline of 4.6 per cent. </w:t>
      </w:r>
    </w:p>
    <w:p w14:paraId="5B08957E" w14:textId="77777777" w:rsidR="00C34433" w:rsidRDefault="00C34433" w:rsidP="007F2366">
      <w:pPr>
        <w:jc w:val="both"/>
        <w:rPr>
          <w:b/>
          <w:bCs/>
          <w:sz w:val="24"/>
          <w:szCs w:val="24"/>
        </w:rPr>
      </w:pPr>
    </w:p>
    <w:p w14:paraId="25D7E876" w14:textId="77777777" w:rsidR="00C34433" w:rsidRDefault="00C34433" w:rsidP="007F2366">
      <w:pPr>
        <w:jc w:val="both"/>
        <w:rPr>
          <w:b/>
          <w:bCs/>
          <w:sz w:val="24"/>
          <w:szCs w:val="24"/>
        </w:rPr>
      </w:pPr>
    </w:p>
    <w:p w14:paraId="0EB86DDA" w14:textId="77777777" w:rsidR="000C5C93" w:rsidRDefault="000C5C93" w:rsidP="007F2366">
      <w:pPr>
        <w:jc w:val="both"/>
        <w:rPr>
          <w:b/>
          <w:bCs/>
          <w:sz w:val="24"/>
          <w:szCs w:val="24"/>
        </w:rPr>
      </w:pPr>
    </w:p>
    <w:p w14:paraId="42951E08" w14:textId="4BA832FA" w:rsidR="00BD4033" w:rsidRDefault="00BD4033" w:rsidP="007F2366">
      <w:pPr>
        <w:jc w:val="both"/>
        <w:rPr>
          <w:b/>
          <w:bCs/>
          <w:sz w:val="24"/>
          <w:szCs w:val="24"/>
        </w:rPr>
      </w:pPr>
      <w:r w:rsidRPr="00BD4033">
        <w:rPr>
          <w:b/>
          <w:bCs/>
          <w:sz w:val="24"/>
          <w:szCs w:val="24"/>
        </w:rPr>
        <w:t xml:space="preserve">Figure </w:t>
      </w:r>
      <w:r w:rsidR="00A27371">
        <w:rPr>
          <w:b/>
          <w:bCs/>
          <w:sz w:val="24"/>
          <w:szCs w:val="24"/>
        </w:rPr>
        <w:t>11</w:t>
      </w:r>
      <w:r w:rsidRPr="00BD4033">
        <w:rPr>
          <w:b/>
          <w:bCs/>
          <w:sz w:val="24"/>
          <w:szCs w:val="24"/>
        </w:rPr>
        <w:t>: Number of Landlords Associated with Private Tenancies</w:t>
      </w:r>
    </w:p>
    <w:p w14:paraId="2011A20D" w14:textId="17F209D5" w:rsidR="000E60CC" w:rsidRDefault="000E60CC" w:rsidP="007F2366">
      <w:pPr>
        <w:jc w:val="both"/>
        <w:rPr>
          <w:b/>
          <w:bCs/>
          <w:sz w:val="24"/>
          <w:szCs w:val="24"/>
        </w:rPr>
      </w:pPr>
      <w:r>
        <w:rPr>
          <w:noProof/>
        </w:rPr>
        <w:drawing>
          <wp:inline distT="0" distB="0" distL="0" distR="0" wp14:anchorId="34E65A6F" wp14:editId="4669108B">
            <wp:extent cx="5731510" cy="2788920"/>
            <wp:effectExtent l="0" t="0" r="2540" b="11430"/>
            <wp:docPr id="15" name="Chart 15">
              <a:extLst xmlns:a="http://schemas.openxmlformats.org/drawingml/2006/main">
                <a:ext uri="{FF2B5EF4-FFF2-40B4-BE49-F238E27FC236}">
                  <a16:creationId xmlns:a16="http://schemas.microsoft.com/office/drawing/2014/main" id="{9F0CA2A0-A48A-474C-9A54-483D875AC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6FE594" w14:textId="09ABE002" w:rsidR="00CC37C1" w:rsidRDefault="00CC37C1" w:rsidP="007F2366">
      <w:pPr>
        <w:jc w:val="both"/>
        <w:rPr>
          <w:sz w:val="24"/>
          <w:szCs w:val="24"/>
        </w:rPr>
      </w:pPr>
      <w:r w:rsidRPr="00CC37C1">
        <w:rPr>
          <w:sz w:val="24"/>
          <w:szCs w:val="24"/>
        </w:rPr>
        <w:t>Source: RTB</w:t>
      </w:r>
    </w:p>
    <w:p w14:paraId="1C42DDCE" w14:textId="66FDAE63" w:rsidR="00C34433" w:rsidRDefault="00C34433" w:rsidP="007F2366">
      <w:pPr>
        <w:jc w:val="both"/>
        <w:rPr>
          <w:b/>
          <w:bCs/>
          <w:sz w:val="28"/>
          <w:szCs w:val="28"/>
        </w:rPr>
      </w:pPr>
      <w:r>
        <w:rPr>
          <w:b/>
          <w:bCs/>
          <w:sz w:val="28"/>
          <w:szCs w:val="28"/>
        </w:rPr>
        <w:br w:type="page"/>
      </w:r>
    </w:p>
    <w:p w14:paraId="21BD556A" w14:textId="4B9064F4" w:rsidR="000960B0" w:rsidRDefault="0072229E" w:rsidP="007F2366">
      <w:pPr>
        <w:pStyle w:val="Heading1"/>
        <w:jc w:val="both"/>
      </w:pPr>
      <w:bookmarkStart w:id="8" w:name="_Toc103266210"/>
      <w:r>
        <w:lastRenderedPageBreak/>
        <w:t xml:space="preserve">SECTION 5: </w:t>
      </w:r>
      <w:r w:rsidR="00AC2A1E">
        <w:t>RELEVANT MARKET RESEARCH</w:t>
      </w:r>
      <w:bookmarkEnd w:id="8"/>
    </w:p>
    <w:p w14:paraId="7D7DD149" w14:textId="5ED2C5E5" w:rsidR="0072229E" w:rsidRDefault="0072229E" w:rsidP="007F2366">
      <w:pPr>
        <w:jc w:val="both"/>
      </w:pPr>
    </w:p>
    <w:p w14:paraId="56FEBD14" w14:textId="25DC980F" w:rsidR="0072229E" w:rsidRPr="0072229E" w:rsidRDefault="0072229E" w:rsidP="007F2366">
      <w:pPr>
        <w:jc w:val="both"/>
        <w:rPr>
          <w:sz w:val="24"/>
          <w:szCs w:val="24"/>
        </w:rPr>
      </w:pPr>
      <w:r w:rsidRPr="0072229E">
        <w:rPr>
          <w:sz w:val="24"/>
          <w:szCs w:val="24"/>
        </w:rPr>
        <w:t xml:space="preserve">There is a considerable body of recent research that provides a very strong perspective on the current views and actions of private investors in the residential investment market. It provides a clear view on why the number of landlords and tenancies are declining. </w:t>
      </w:r>
    </w:p>
    <w:p w14:paraId="6ACC5BE0" w14:textId="77777777" w:rsidR="00B63338" w:rsidRDefault="000960B0" w:rsidP="007F2366">
      <w:pPr>
        <w:jc w:val="both"/>
        <w:rPr>
          <w:sz w:val="24"/>
          <w:szCs w:val="24"/>
        </w:rPr>
      </w:pPr>
      <w:r>
        <w:rPr>
          <w:sz w:val="24"/>
          <w:szCs w:val="24"/>
        </w:rPr>
        <w:t>In a survey</w:t>
      </w:r>
      <w:r>
        <w:rPr>
          <w:rStyle w:val="FootnoteReference"/>
          <w:sz w:val="24"/>
          <w:szCs w:val="24"/>
        </w:rPr>
        <w:footnoteReference w:id="2"/>
      </w:r>
      <w:r>
        <w:rPr>
          <w:sz w:val="24"/>
          <w:szCs w:val="24"/>
        </w:rPr>
        <w:t xml:space="preserve">conducted for the </w:t>
      </w:r>
      <w:r w:rsidRPr="007B761B">
        <w:rPr>
          <w:b/>
          <w:bCs/>
          <w:sz w:val="24"/>
          <w:szCs w:val="24"/>
        </w:rPr>
        <w:t xml:space="preserve">RTB by </w:t>
      </w:r>
      <w:proofErr w:type="spellStart"/>
      <w:r w:rsidRPr="007B761B">
        <w:rPr>
          <w:b/>
          <w:bCs/>
          <w:sz w:val="24"/>
          <w:szCs w:val="24"/>
        </w:rPr>
        <w:t>Amárach</w:t>
      </w:r>
      <w:proofErr w:type="spellEnd"/>
      <w:r w:rsidRPr="007B761B">
        <w:rPr>
          <w:b/>
          <w:bCs/>
          <w:sz w:val="24"/>
          <w:szCs w:val="24"/>
        </w:rPr>
        <w:t xml:space="preserve"> Research</w:t>
      </w:r>
      <w:r>
        <w:rPr>
          <w:sz w:val="24"/>
          <w:szCs w:val="24"/>
        </w:rPr>
        <w:t xml:space="preserve"> in July 2021, </w:t>
      </w:r>
      <w:r w:rsidR="00957B83">
        <w:rPr>
          <w:sz w:val="24"/>
          <w:szCs w:val="24"/>
        </w:rPr>
        <w:t xml:space="preserve">some very </w:t>
      </w:r>
      <w:r w:rsidR="00B63338">
        <w:rPr>
          <w:sz w:val="24"/>
          <w:szCs w:val="24"/>
        </w:rPr>
        <w:t>strong</w:t>
      </w:r>
      <w:r w:rsidR="00957B83">
        <w:rPr>
          <w:sz w:val="24"/>
          <w:szCs w:val="24"/>
        </w:rPr>
        <w:t xml:space="preserve"> messages emerged </w:t>
      </w:r>
      <w:r w:rsidR="00B63338">
        <w:rPr>
          <w:sz w:val="24"/>
          <w:szCs w:val="24"/>
        </w:rPr>
        <w:t xml:space="preserve">on </w:t>
      </w:r>
      <w:r w:rsidR="00957B83">
        <w:rPr>
          <w:sz w:val="24"/>
          <w:szCs w:val="24"/>
        </w:rPr>
        <w:t>the view</w:t>
      </w:r>
      <w:r w:rsidR="00B63338">
        <w:rPr>
          <w:sz w:val="24"/>
          <w:szCs w:val="24"/>
        </w:rPr>
        <w:t>s</w:t>
      </w:r>
      <w:r w:rsidR="00957B83">
        <w:rPr>
          <w:sz w:val="24"/>
          <w:szCs w:val="24"/>
        </w:rPr>
        <w:t xml:space="preserve"> of </w:t>
      </w:r>
      <w:r w:rsidR="00B63338">
        <w:rPr>
          <w:sz w:val="24"/>
          <w:szCs w:val="24"/>
        </w:rPr>
        <w:t xml:space="preserve">tenants and </w:t>
      </w:r>
      <w:r w:rsidR="00957B83">
        <w:rPr>
          <w:sz w:val="24"/>
          <w:szCs w:val="24"/>
        </w:rPr>
        <w:t xml:space="preserve">landlords in relation to the rental market. </w:t>
      </w:r>
    </w:p>
    <w:p w14:paraId="024A6A1F" w14:textId="1B8366BE" w:rsidR="00B63338" w:rsidRDefault="00B63338" w:rsidP="007F2366">
      <w:pPr>
        <w:jc w:val="both"/>
        <w:rPr>
          <w:sz w:val="24"/>
          <w:szCs w:val="24"/>
        </w:rPr>
      </w:pPr>
      <w:r>
        <w:rPr>
          <w:sz w:val="24"/>
          <w:szCs w:val="24"/>
        </w:rPr>
        <w:t xml:space="preserve">The research suggested that tenants are generally content with their existing rental arrangements, both in terms of amenities and relations with their landlords. 79 per cent of respondents answered that their renting experience has been positive or very positive. The key issues raised by tenants included the lack of choice and availability in the rental market; the high percentage of income taken up by rents; the high level of rents </w:t>
      </w:r>
      <w:r w:rsidR="001C48A7">
        <w:rPr>
          <w:sz w:val="24"/>
          <w:szCs w:val="24"/>
        </w:rPr>
        <w:t xml:space="preserve">makes it very difficult to build up a deposit to buy a house within the confines of the </w:t>
      </w:r>
      <w:r>
        <w:rPr>
          <w:sz w:val="24"/>
          <w:szCs w:val="24"/>
        </w:rPr>
        <w:t xml:space="preserve">central bank </w:t>
      </w:r>
      <w:r w:rsidR="001C48A7">
        <w:rPr>
          <w:sz w:val="24"/>
          <w:szCs w:val="24"/>
        </w:rPr>
        <w:t xml:space="preserve">mortgage </w:t>
      </w:r>
      <w:r>
        <w:rPr>
          <w:sz w:val="24"/>
          <w:szCs w:val="24"/>
        </w:rPr>
        <w:t>le</w:t>
      </w:r>
      <w:r w:rsidR="001C48A7">
        <w:rPr>
          <w:sz w:val="24"/>
          <w:szCs w:val="24"/>
        </w:rPr>
        <w:t>nding regulations; and the importance of income supports for tenants on lower incomes.</w:t>
      </w:r>
    </w:p>
    <w:p w14:paraId="1B0945F7" w14:textId="72BF32BB" w:rsidR="001C48A7" w:rsidRDefault="001C48A7" w:rsidP="007F2366">
      <w:pPr>
        <w:jc w:val="both"/>
        <w:rPr>
          <w:sz w:val="24"/>
          <w:szCs w:val="24"/>
        </w:rPr>
      </w:pPr>
      <w:r>
        <w:rPr>
          <w:sz w:val="24"/>
          <w:szCs w:val="24"/>
        </w:rPr>
        <w:t>It is clear from the tenant research that there is a significant level of satisfaction, but the lack of supply of rental properties and the consequent high rental costs pose a significant challenge.</w:t>
      </w:r>
    </w:p>
    <w:p w14:paraId="5B217A2D" w14:textId="15E8D214" w:rsidR="000960B0" w:rsidRDefault="001C48A7" w:rsidP="007F2366">
      <w:pPr>
        <w:jc w:val="both"/>
        <w:rPr>
          <w:sz w:val="24"/>
          <w:szCs w:val="24"/>
        </w:rPr>
      </w:pPr>
      <w:r>
        <w:rPr>
          <w:sz w:val="24"/>
          <w:szCs w:val="24"/>
        </w:rPr>
        <w:t>In relation to landlords, t</w:t>
      </w:r>
      <w:r w:rsidR="00957B83">
        <w:rPr>
          <w:sz w:val="24"/>
          <w:szCs w:val="24"/>
        </w:rPr>
        <w:t>he survey distinguished between Small Landlords</w:t>
      </w:r>
      <w:r w:rsidR="008B3670">
        <w:rPr>
          <w:sz w:val="24"/>
          <w:szCs w:val="24"/>
        </w:rPr>
        <w:t xml:space="preserve"> (1-2 properties)</w:t>
      </w:r>
      <w:r w:rsidR="00957B83">
        <w:rPr>
          <w:sz w:val="24"/>
          <w:szCs w:val="24"/>
        </w:rPr>
        <w:t xml:space="preserve">, Medium Landlords </w:t>
      </w:r>
      <w:r w:rsidR="008B3670">
        <w:rPr>
          <w:sz w:val="24"/>
          <w:szCs w:val="24"/>
        </w:rPr>
        <w:t>(3-20 properties</w:t>
      </w:r>
      <w:r w:rsidR="008C727A">
        <w:rPr>
          <w:sz w:val="24"/>
          <w:szCs w:val="24"/>
        </w:rPr>
        <w:t>, but can be up to 99</w:t>
      </w:r>
      <w:r w:rsidR="008B3670">
        <w:rPr>
          <w:sz w:val="24"/>
          <w:szCs w:val="24"/>
        </w:rPr>
        <w:t xml:space="preserve">) </w:t>
      </w:r>
      <w:r w:rsidR="00957B83">
        <w:rPr>
          <w:sz w:val="24"/>
          <w:szCs w:val="24"/>
        </w:rPr>
        <w:t>and Large Landlords</w:t>
      </w:r>
      <w:r w:rsidR="008B3670">
        <w:rPr>
          <w:sz w:val="24"/>
          <w:szCs w:val="24"/>
        </w:rPr>
        <w:t xml:space="preserve"> (100 or more) properties</w:t>
      </w:r>
      <w:r w:rsidR="00957B83">
        <w:rPr>
          <w:sz w:val="24"/>
          <w:szCs w:val="24"/>
        </w:rPr>
        <w:t xml:space="preserve">. </w:t>
      </w:r>
    </w:p>
    <w:p w14:paraId="706017AD" w14:textId="25FA4A26" w:rsidR="001C48A7" w:rsidRDefault="001C48A7" w:rsidP="001C2FAE">
      <w:pPr>
        <w:spacing w:after="0"/>
        <w:jc w:val="both"/>
        <w:rPr>
          <w:sz w:val="24"/>
          <w:szCs w:val="24"/>
        </w:rPr>
      </w:pPr>
      <w:r>
        <w:rPr>
          <w:sz w:val="24"/>
          <w:szCs w:val="24"/>
        </w:rPr>
        <w:t>In relation to small landlords:</w:t>
      </w:r>
    </w:p>
    <w:p w14:paraId="0DFB5452" w14:textId="0ECF21B0" w:rsidR="001C48A7" w:rsidRPr="008C727A" w:rsidRDefault="009D0418" w:rsidP="007F2366">
      <w:pPr>
        <w:pStyle w:val="ListParagraph"/>
        <w:numPr>
          <w:ilvl w:val="0"/>
          <w:numId w:val="12"/>
        </w:numPr>
        <w:jc w:val="both"/>
        <w:rPr>
          <w:sz w:val="24"/>
          <w:szCs w:val="24"/>
        </w:rPr>
      </w:pPr>
      <w:r w:rsidRPr="008C727A">
        <w:rPr>
          <w:sz w:val="24"/>
          <w:szCs w:val="24"/>
        </w:rPr>
        <w:t>40 per cent of small landlords feel that regulations have made the sector more professional.</w:t>
      </w:r>
    </w:p>
    <w:p w14:paraId="3B4C1522" w14:textId="563E0469" w:rsidR="009D0418" w:rsidRPr="008C727A" w:rsidRDefault="009D0418" w:rsidP="007F2366">
      <w:pPr>
        <w:pStyle w:val="ListParagraph"/>
        <w:numPr>
          <w:ilvl w:val="0"/>
          <w:numId w:val="12"/>
        </w:numPr>
        <w:jc w:val="both"/>
        <w:rPr>
          <w:sz w:val="24"/>
          <w:szCs w:val="24"/>
        </w:rPr>
      </w:pPr>
      <w:r w:rsidRPr="008C727A">
        <w:rPr>
          <w:sz w:val="24"/>
          <w:szCs w:val="24"/>
        </w:rPr>
        <w:t>Just 14 per cent would recommend becoming a landlord to a friend or family member.</w:t>
      </w:r>
    </w:p>
    <w:p w14:paraId="243C045E" w14:textId="11613F00" w:rsidR="009D0418" w:rsidRPr="008C727A" w:rsidRDefault="009D0418" w:rsidP="007F2366">
      <w:pPr>
        <w:pStyle w:val="ListParagraph"/>
        <w:numPr>
          <w:ilvl w:val="0"/>
          <w:numId w:val="12"/>
        </w:numPr>
        <w:jc w:val="both"/>
        <w:rPr>
          <w:sz w:val="24"/>
          <w:szCs w:val="24"/>
        </w:rPr>
      </w:pPr>
      <w:r w:rsidRPr="008C727A">
        <w:rPr>
          <w:sz w:val="24"/>
          <w:szCs w:val="24"/>
        </w:rPr>
        <w:t>49 per cent would not recommend becoming a landlord to a friend or family member.</w:t>
      </w:r>
    </w:p>
    <w:p w14:paraId="5ABA8B89" w14:textId="6BEC40CC" w:rsidR="009D0418" w:rsidRPr="008C727A" w:rsidRDefault="009D0418" w:rsidP="007F2366">
      <w:pPr>
        <w:pStyle w:val="ListParagraph"/>
        <w:numPr>
          <w:ilvl w:val="0"/>
          <w:numId w:val="12"/>
        </w:numPr>
        <w:jc w:val="both"/>
        <w:rPr>
          <w:sz w:val="24"/>
          <w:szCs w:val="24"/>
        </w:rPr>
      </w:pPr>
      <w:r w:rsidRPr="008C727A">
        <w:rPr>
          <w:sz w:val="24"/>
          <w:szCs w:val="24"/>
        </w:rPr>
        <w:t>48 per cent say that their experience of being a landlord has been positive or very positive.</w:t>
      </w:r>
    </w:p>
    <w:p w14:paraId="3D9C90CB" w14:textId="7B8BB480" w:rsidR="009D0418" w:rsidRPr="008C727A" w:rsidRDefault="009D0418" w:rsidP="007F2366">
      <w:pPr>
        <w:pStyle w:val="ListParagraph"/>
        <w:numPr>
          <w:ilvl w:val="0"/>
          <w:numId w:val="12"/>
        </w:numPr>
        <w:jc w:val="both"/>
        <w:rPr>
          <w:sz w:val="24"/>
          <w:szCs w:val="24"/>
        </w:rPr>
      </w:pPr>
      <w:r w:rsidRPr="008C727A">
        <w:rPr>
          <w:sz w:val="24"/>
          <w:szCs w:val="24"/>
        </w:rPr>
        <w:t>19 per cent say that their experience of being a landlord has been negative or very negative.</w:t>
      </w:r>
    </w:p>
    <w:p w14:paraId="1E6CDD69" w14:textId="77777777" w:rsidR="008C727A" w:rsidRDefault="009D0418" w:rsidP="007F2366">
      <w:pPr>
        <w:pStyle w:val="ListParagraph"/>
        <w:numPr>
          <w:ilvl w:val="0"/>
          <w:numId w:val="12"/>
        </w:numPr>
        <w:jc w:val="both"/>
        <w:rPr>
          <w:sz w:val="24"/>
          <w:szCs w:val="24"/>
        </w:rPr>
      </w:pPr>
      <w:r w:rsidRPr="008C727A">
        <w:rPr>
          <w:sz w:val="24"/>
          <w:szCs w:val="24"/>
        </w:rPr>
        <w:t>44 per cent of landlords say that their pre-tax income is the same or less than</w:t>
      </w:r>
      <w:r w:rsidR="008C727A" w:rsidRPr="008C727A">
        <w:rPr>
          <w:sz w:val="24"/>
          <w:szCs w:val="24"/>
        </w:rPr>
        <w:t xml:space="preserve"> </w:t>
      </w:r>
      <w:r w:rsidRPr="008C727A">
        <w:rPr>
          <w:sz w:val="24"/>
          <w:szCs w:val="24"/>
        </w:rPr>
        <w:t>their property-related costs, including mortgage repayments</w:t>
      </w:r>
      <w:r w:rsidR="008C727A" w:rsidRPr="008C727A">
        <w:rPr>
          <w:sz w:val="24"/>
          <w:szCs w:val="24"/>
        </w:rPr>
        <w:t>, maintenance costs and agent fees.</w:t>
      </w:r>
    </w:p>
    <w:p w14:paraId="30ED419E" w14:textId="79562D4B" w:rsidR="008C727A" w:rsidRPr="008C727A" w:rsidRDefault="008C727A" w:rsidP="001C2FAE">
      <w:pPr>
        <w:spacing w:after="0"/>
        <w:jc w:val="both"/>
        <w:rPr>
          <w:sz w:val="24"/>
          <w:szCs w:val="24"/>
        </w:rPr>
      </w:pPr>
      <w:r w:rsidRPr="008C727A">
        <w:rPr>
          <w:sz w:val="24"/>
          <w:szCs w:val="24"/>
        </w:rPr>
        <w:t xml:space="preserve">In relation to </w:t>
      </w:r>
      <w:r>
        <w:rPr>
          <w:sz w:val="24"/>
          <w:szCs w:val="24"/>
        </w:rPr>
        <w:t>medium-sized</w:t>
      </w:r>
      <w:r w:rsidRPr="008C727A">
        <w:rPr>
          <w:sz w:val="24"/>
          <w:szCs w:val="24"/>
        </w:rPr>
        <w:t xml:space="preserve"> landlords:</w:t>
      </w:r>
    </w:p>
    <w:p w14:paraId="39988D02" w14:textId="1B15C9C6" w:rsidR="009D0418" w:rsidRPr="006F6380" w:rsidRDefault="006F6380" w:rsidP="007F2366">
      <w:pPr>
        <w:pStyle w:val="ListParagraph"/>
        <w:numPr>
          <w:ilvl w:val="0"/>
          <w:numId w:val="13"/>
        </w:numPr>
        <w:jc w:val="both"/>
        <w:rPr>
          <w:sz w:val="24"/>
          <w:szCs w:val="24"/>
        </w:rPr>
      </w:pPr>
      <w:r w:rsidRPr="006F6380">
        <w:rPr>
          <w:sz w:val="24"/>
          <w:szCs w:val="24"/>
        </w:rPr>
        <w:t>31 per cent say their pre-tax rental income is the same or less than property costs.</w:t>
      </w:r>
    </w:p>
    <w:p w14:paraId="138B194F" w14:textId="317EBAF7" w:rsidR="006F6380" w:rsidRPr="006F6380" w:rsidRDefault="006F6380" w:rsidP="007F2366">
      <w:pPr>
        <w:pStyle w:val="ListParagraph"/>
        <w:numPr>
          <w:ilvl w:val="0"/>
          <w:numId w:val="13"/>
        </w:numPr>
        <w:jc w:val="both"/>
        <w:rPr>
          <w:sz w:val="24"/>
          <w:szCs w:val="24"/>
        </w:rPr>
      </w:pPr>
      <w:r w:rsidRPr="006F6380">
        <w:rPr>
          <w:sz w:val="24"/>
          <w:szCs w:val="24"/>
        </w:rPr>
        <w:t>53 per cent see their rental properties as a long-term investment for capital growth, and 78 per cent see them as a long-term investment for rental income.</w:t>
      </w:r>
    </w:p>
    <w:p w14:paraId="65D76168" w14:textId="39BBAA10" w:rsidR="006F6380" w:rsidRPr="006F6380" w:rsidRDefault="006F6380" w:rsidP="007F2366">
      <w:pPr>
        <w:pStyle w:val="ListParagraph"/>
        <w:numPr>
          <w:ilvl w:val="0"/>
          <w:numId w:val="13"/>
        </w:numPr>
        <w:jc w:val="both"/>
        <w:rPr>
          <w:sz w:val="24"/>
          <w:szCs w:val="24"/>
        </w:rPr>
      </w:pPr>
      <w:r w:rsidRPr="006F6380">
        <w:rPr>
          <w:sz w:val="24"/>
          <w:szCs w:val="24"/>
        </w:rPr>
        <w:t>44 per cent no longer have a mortgage on their properties.</w:t>
      </w:r>
    </w:p>
    <w:p w14:paraId="767DDA40" w14:textId="515D985B" w:rsidR="006F6380" w:rsidRDefault="006F6380" w:rsidP="007F2366">
      <w:pPr>
        <w:pStyle w:val="ListParagraph"/>
        <w:numPr>
          <w:ilvl w:val="0"/>
          <w:numId w:val="13"/>
        </w:numPr>
        <w:jc w:val="both"/>
        <w:rPr>
          <w:sz w:val="24"/>
          <w:szCs w:val="24"/>
        </w:rPr>
      </w:pPr>
      <w:r w:rsidRPr="006F6380">
        <w:rPr>
          <w:sz w:val="24"/>
          <w:szCs w:val="24"/>
        </w:rPr>
        <w:lastRenderedPageBreak/>
        <w:t>38 per cent think it is likely or very likely that they will sell any properties within 5 years.</w:t>
      </w:r>
    </w:p>
    <w:p w14:paraId="0EAAAE02" w14:textId="6B062FCC" w:rsidR="006F6380" w:rsidRDefault="006F6380" w:rsidP="007F2366">
      <w:pPr>
        <w:jc w:val="both"/>
        <w:rPr>
          <w:sz w:val="24"/>
          <w:szCs w:val="24"/>
        </w:rPr>
      </w:pPr>
      <w:r>
        <w:rPr>
          <w:sz w:val="24"/>
          <w:szCs w:val="24"/>
        </w:rPr>
        <w:t>In relation to RPZ</w:t>
      </w:r>
      <w:r w:rsidR="001C2FAE">
        <w:rPr>
          <w:sz w:val="24"/>
          <w:szCs w:val="24"/>
        </w:rPr>
        <w:t>s</w:t>
      </w:r>
      <w:r>
        <w:rPr>
          <w:sz w:val="24"/>
          <w:szCs w:val="24"/>
        </w:rPr>
        <w:t xml:space="preserve"> and regulations, ‘</w:t>
      </w:r>
      <w:r w:rsidRPr="009761EC">
        <w:rPr>
          <w:i/>
          <w:iCs/>
          <w:sz w:val="24"/>
          <w:szCs w:val="24"/>
        </w:rPr>
        <w:t xml:space="preserve">landlords tend to focus on more than just </w:t>
      </w:r>
      <w:r w:rsidR="009761EC" w:rsidRPr="009761EC">
        <w:rPr>
          <w:i/>
          <w:iCs/>
          <w:sz w:val="24"/>
          <w:szCs w:val="24"/>
        </w:rPr>
        <w:t>maximising rental income, which means that they believe that RPZ regulation does not take sufficient account of the multiplicity of reasons as to why tenants are there and the nature of existing landlord tenant relationships (which can be quite long term)</w:t>
      </w:r>
      <w:r w:rsidR="009761EC">
        <w:rPr>
          <w:sz w:val="24"/>
          <w:szCs w:val="24"/>
        </w:rPr>
        <w:t>.’</w:t>
      </w:r>
    </w:p>
    <w:p w14:paraId="55397C01" w14:textId="488997FD" w:rsidR="009761EC" w:rsidRDefault="009761EC" w:rsidP="007F2366">
      <w:pPr>
        <w:jc w:val="both"/>
        <w:rPr>
          <w:sz w:val="24"/>
          <w:szCs w:val="24"/>
        </w:rPr>
      </w:pPr>
      <w:r>
        <w:rPr>
          <w:sz w:val="24"/>
          <w:szCs w:val="24"/>
        </w:rPr>
        <w:t xml:space="preserve">In the interviews some landlords stated that they intend to exit the rental market, even though their property rental businesses are currently profitable. The reasons given for exiting include </w:t>
      </w:r>
      <w:r w:rsidR="006F6108">
        <w:rPr>
          <w:sz w:val="24"/>
          <w:szCs w:val="24"/>
        </w:rPr>
        <w:t xml:space="preserve">increased regulation and the fact that they believe regulation is balanced more in favour of tenants; the difficulty in making a reasonable return after tax, particularly as many costs are no longer tax deductible; the difficulty of maintaining older pre-1963 buildings to an acceptable standard; and life stage decisions. </w:t>
      </w:r>
    </w:p>
    <w:p w14:paraId="6198A378" w14:textId="46EEE2D6" w:rsidR="006F6108" w:rsidRDefault="006F6108" w:rsidP="007F2366">
      <w:pPr>
        <w:jc w:val="both"/>
        <w:rPr>
          <w:sz w:val="24"/>
          <w:szCs w:val="24"/>
        </w:rPr>
      </w:pPr>
      <w:r>
        <w:rPr>
          <w:sz w:val="24"/>
          <w:szCs w:val="24"/>
        </w:rPr>
        <w:t>In relation to large landlords:</w:t>
      </w:r>
    </w:p>
    <w:p w14:paraId="5580FB17" w14:textId="67B3A4E2" w:rsidR="006F6108" w:rsidRPr="00AC2A1E" w:rsidRDefault="006F6108" w:rsidP="007F2366">
      <w:pPr>
        <w:pStyle w:val="ListParagraph"/>
        <w:numPr>
          <w:ilvl w:val="0"/>
          <w:numId w:val="14"/>
        </w:numPr>
        <w:jc w:val="both"/>
        <w:rPr>
          <w:sz w:val="24"/>
          <w:szCs w:val="24"/>
        </w:rPr>
      </w:pPr>
      <w:r w:rsidRPr="00AC2A1E">
        <w:rPr>
          <w:sz w:val="24"/>
          <w:szCs w:val="24"/>
        </w:rPr>
        <w:t xml:space="preserve">The interviews were conducted with individuals speaking on behalf of organisations rather than individual landlords or property owners. Most of the organisations are relatively new to the market. </w:t>
      </w:r>
    </w:p>
    <w:p w14:paraId="71C95993" w14:textId="733A5400" w:rsidR="00D45740" w:rsidRPr="00AC2A1E" w:rsidRDefault="00D45740" w:rsidP="007F2366">
      <w:pPr>
        <w:pStyle w:val="ListParagraph"/>
        <w:numPr>
          <w:ilvl w:val="0"/>
          <w:numId w:val="14"/>
        </w:numPr>
        <w:jc w:val="both"/>
        <w:rPr>
          <w:sz w:val="24"/>
          <w:szCs w:val="24"/>
        </w:rPr>
      </w:pPr>
      <w:r w:rsidRPr="00AC2A1E">
        <w:rPr>
          <w:sz w:val="24"/>
          <w:szCs w:val="24"/>
        </w:rPr>
        <w:t>Some believe that the RPZ rules put a floor underneath the rental market during the pandemic.</w:t>
      </w:r>
    </w:p>
    <w:p w14:paraId="1FB58A46" w14:textId="03744A34" w:rsidR="00D45740" w:rsidRPr="00AC2A1E" w:rsidRDefault="00D45740" w:rsidP="007F2366">
      <w:pPr>
        <w:pStyle w:val="ListParagraph"/>
        <w:numPr>
          <w:ilvl w:val="0"/>
          <w:numId w:val="14"/>
        </w:numPr>
        <w:jc w:val="both"/>
        <w:rPr>
          <w:sz w:val="24"/>
          <w:szCs w:val="24"/>
        </w:rPr>
      </w:pPr>
      <w:r w:rsidRPr="00AC2A1E">
        <w:rPr>
          <w:sz w:val="24"/>
          <w:szCs w:val="24"/>
        </w:rPr>
        <w:t>Organisations are by their nature comfortable dealing with the regulatory environment, but they believe that it is driving smaller landlords from the market and ‘</w:t>
      </w:r>
      <w:r w:rsidRPr="00AC2A1E">
        <w:rPr>
          <w:i/>
          <w:iCs/>
          <w:sz w:val="24"/>
          <w:szCs w:val="24"/>
        </w:rPr>
        <w:t>in a sense, this is part of the opportunity that they are seeking to capitalise on</w:t>
      </w:r>
      <w:r w:rsidRPr="00AC2A1E">
        <w:rPr>
          <w:sz w:val="24"/>
          <w:szCs w:val="24"/>
        </w:rPr>
        <w:t>.’</w:t>
      </w:r>
    </w:p>
    <w:p w14:paraId="1F4F5F2B" w14:textId="5A1D6C49" w:rsidR="00D45740" w:rsidRPr="00AC2A1E" w:rsidRDefault="00D45740" w:rsidP="007F2366">
      <w:pPr>
        <w:pStyle w:val="ListParagraph"/>
        <w:numPr>
          <w:ilvl w:val="0"/>
          <w:numId w:val="14"/>
        </w:numPr>
        <w:jc w:val="both"/>
        <w:rPr>
          <w:sz w:val="24"/>
          <w:szCs w:val="24"/>
        </w:rPr>
      </w:pPr>
      <w:r w:rsidRPr="00AC2A1E">
        <w:rPr>
          <w:sz w:val="24"/>
          <w:szCs w:val="24"/>
        </w:rPr>
        <w:t xml:space="preserve">The regulatory environment around buy to let mortgages is also driving smaller private landlords from the market. </w:t>
      </w:r>
    </w:p>
    <w:p w14:paraId="35D019D7" w14:textId="794A2ECB" w:rsidR="00D45740" w:rsidRDefault="00AC2A1E" w:rsidP="007F2366">
      <w:pPr>
        <w:pStyle w:val="ListParagraph"/>
        <w:numPr>
          <w:ilvl w:val="0"/>
          <w:numId w:val="14"/>
        </w:numPr>
        <w:jc w:val="both"/>
        <w:rPr>
          <w:sz w:val="24"/>
          <w:szCs w:val="24"/>
        </w:rPr>
      </w:pPr>
      <w:r w:rsidRPr="00AC2A1E">
        <w:rPr>
          <w:sz w:val="24"/>
          <w:szCs w:val="24"/>
        </w:rPr>
        <w:t xml:space="preserve">The large organisations plan to build their portfolios in Ireland but see potential challenges if investment returns decline; if alternative investments generate higher return; and if regulatory changes in relation to bulk buying of properties are introduced. </w:t>
      </w:r>
    </w:p>
    <w:p w14:paraId="2DF20D0B" w14:textId="12BD3F7A" w:rsidR="00AC2A1E" w:rsidRDefault="00AC2A1E" w:rsidP="007F2366">
      <w:pPr>
        <w:jc w:val="both"/>
        <w:rPr>
          <w:sz w:val="24"/>
          <w:szCs w:val="24"/>
        </w:rPr>
      </w:pPr>
      <w:r>
        <w:rPr>
          <w:sz w:val="24"/>
          <w:szCs w:val="24"/>
        </w:rPr>
        <w:t xml:space="preserve">One key conclusion from the </w:t>
      </w:r>
      <w:proofErr w:type="spellStart"/>
      <w:r>
        <w:rPr>
          <w:sz w:val="24"/>
          <w:szCs w:val="24"/>
        </w:rPr>
        <w:t>Amárach</w:t>
      </w:r>
      <w:proofErr w:type="spellEnd"/>
      <w:r>
        <w:rPr>
          <w:sz w:val="24"/>
          <w:szCs w:val="24"/>
        </w:rPr>
        <w:t xml:space="preserve"> research is that smaller landlords are more likely to exit the market than larger landlords, as the business model is seen to be more challenging for smaller operators. </w:t>
      </w:r>
    </w:p>
    <w:p w14:paraId="0138DF8D" w14:textId="454F188C" w:rsidR="00AC2A1E" w:rsidRDefault="007C5BAD" w:rsidP="007F2366">
      <w:pPr>
        <w:jc w:val="both"/>
        <w:rPr>
          <w:sz w:val="24"/>
          <w:szCs w:val="24"/>
        </w:rPr>
      </w:pPr>
      <w:r>
        <w:rPr>
          <w:sz w:val="24"/>
          <w:szCs w:val="24"/>
        </w:rPr>
        <w:t xml:space="preserve">Research from </w:t>
      </w:r>
      <w:r w:rsidRPr="007B761B">
        <w:rPr>
          <w:b/>
          <w:bCs/>
          <w:sz w:val="24"/>
          <w:szCs w:val="24"/>
        </w:rPr>
        <w:t>Sherry FitzGerald</w:t>
      </w:r>
      <w:r>
        <w:rPr>
          <w:sz w:val="24"/>
          <w:szCs w:val="24"/>
        </w:rPr>
        <w:t xml:space="preserve"> (October 2021) suggests that the exodus of small investors from the Irish rental sector has reduced the number of available tenancies by nearly 22,000 between 2016 and 2020. The research suggests that traditional buy-to-let investors are exiting the market at a rate of almost two to one and that this is aggravating the supply shortfall, which is pushing up rents. </w:t>
      </w:r>
    </w:p>
    <w:p w14:paraId="066D8044" w14:textId="71B8AC1E" w:rsidR="007B761B" w:rsidRDefault="00A97CFC" w:rsidP="007F2366">
      <w:pPr>
        <w:jc w:val="both"/>
        <w:rPr>
          <w:sz w:val="24"/>
          <w:szCs w:val="24"/>
        </w:rPr>
      </w:pPr>
      <w:r>
        <w:rPr>
          <w:sz w:val="24"/>
          <w:szCs w:val="24"/>
        </w:rPr>
        <w:t>A survey conducted by IPAV and IPOA in January 2022</w:t>
      </w:r>
      <w:r>
        <w:rPr>
          <w:rStyle w:val="FootnoteReference"/>
          <w:sz w:val="24"/>
          <w:szCs w:val="24"/>
        </w:rPr>
        <w:footnoteReference w:id="3"/>
      </w:r>
      <w:r>
        <w:rPr>
          <w:sz w:val="24"/>
          <w:szCs w:val="24"/>
        </w:rPr>
        <w:t xml:space="preserve"> had 892 respondents and provided some very interesting and stark insights on the Irish private rental market at the moment. </w:t>
      </w:r>
    </w:p>
    <w:p w14:paraId="54AFFB79" w14:textId="287A4F91" w:rsidR="003E18ED" w:rsidRPr="00390ED1" w:rsidRDefault="003E18ED" w:rsidP="007F2366">
      <w:pPr>
        <w:pStyle w:val="ListParagraph"/>
        <w:numPr>
          <w:ilvl w:val="0"/>
          <w:numId w:val="15"/>
        </w:numPr>
        <w:jc w:val="both"/>
        <w:rPr>
          <w:sz w:val="24"/>
          <w:szCs w:val="24"/>
        </w:rPr>
      </w:pPr>
      <w:r w:rsidRPr="00390ED1">
        <w:rPr>
          <w:sz w:val="24"/>
          <w:szCs w:val="24"/>
        </w:rPr>
        <w:lastRenderedPageBreak/>
        <w:t xml:space="preserve">48.6 per cent of landlord respondents </w:t>
      </w:r>
      <w:r w:rsidR="001C2FAE">
        <w:rPr>
          <w:sz w:val="24"/>
          <w:szCs w:val="24"/>
        </w:rPr>
        <w:t xml:space="preserve">are </w:t>
      </w:r>
      <w:r w:rsidRPr="00390ED1">
        <w:rPr>
          <w:sz w:val="24"/>
          <w:szCs w:val="24"/>
        </w:rPr>
        <w:t>aged over 60 years.</w:t>
      </w:r>
    </w:p>
    <w:p w14:paraId="43209B21" w14:textId="5EBE6A60" w:rsidR="00490B0E" w:rsidRPr="00390ED1" w:rsidRDefault="00490B0E" w:rsidP="007F2366">
      <w:pPr>
        <w:pStyle w:val="ListParagraph"/>
        <w:numPr>
          <w:ilvl w:val="0"/>
          <w:numId w:val="15"/>
        </w:numPr>
        <w:jc w:val="both"/>
        <w:rPr>
          <w:sz w:val="24"/>
          <w:szCs w:val="24"/>
        </w:rPr>
      </w:pPr>
      <w:r w:rsidRPr="00390ED1">
        <w:rPr>
          <w:sz w:val="24"/>
          <w:szCs w:val="24"/>
        </w:rPr>
        <w:t>70 per cent are self-employed.</w:t>
      </w:r>
    </w:p>
    <w:p w14:paraId="4A03CEAC" w14:textId="2ABB6063" w:rsidR="00490B0E" w:rsidRPr="00390ED1" w:rsidRDefault="00490B0E" w:rsidP="007F2366">
      <w:pPr>
        <w:pStyle w:val="ListParagraph"/>
        <w:numPr>
          <w:ilvl w:val="0"/>
          <w:numId w:val="15"/>
        </w:numPr>
        <w:jc w:val="both"/>
        <w:rPr>
          <w:sz w:val="24"/>
          <w:szCs w:val="24"/>
        </w:rPr>
      </w:pPr>
      <w:r w:rsidRPr="00390ED1">
        <w:rPr>
          <w:sz w:val="24"/>
          <w:szCs w:val="24"/>
        </w:rPr>
        <w:t>70 per cent own less than 5 properties.</w:t>
      </w:r>
    </w:p>
    <w:p w14:paraId="716D78E0" w14:textId="76EEE9A8" w:rsidR="00490B0E" w:rsidRPr="00390ED1" w:rsidRDefault="00490B0E" w:rsidP="007F2366">
      <w:pPr>
        <w:pStyle w:val="ListParagraph"/>
        <w:numPr>
          <w:ilvl w:val="0"/>
          <w:numId w:val="15"/>
        </w:numPr>
        <w:jc w:val="both"/>
        <w:rPr>
          <w:sz w:val="24"/>
          <w:szCs w:val="24"/>
        </w:rPr>
      </w:pPr>
      <w:r w:rsidRPr="00390ED1">
        <w:rPr>
          <w:sz w:val="24"/>
          <w:szCs w:val="24"/>
        </w:rPr>
        <w:t>59 per cent of landlords have debt associated with property ownership.</w:t>
      </w:r>
    </w:p>
    <w:p w14:paraId="4686D1B5" w14:textId="4D8A03B7" w:rsidR="00490B0E" w:rsidRPr="00390ED1" w:rsidRDefault="00490B0E" w:rsidP="007F2366">
      <w:pPr>
        <w:pStyle w:val="ListParagraph"/>
        <w:numPr>
          <w:ilvl w:val="0"/>
          <w:numId w:val="15"/>
        </w:numPr>
        <w:jc w:val="both"/>
        <w:rPr>
          <w:sz w:val="24"/>
          <w:szCs w:val="24"/>
        </w:rPr>
      </w:pPr>
      <w:r w:rsidRPr="00390ED1">
        <w:rPr>
          <w:sz w:val="24"/>
          <w:szCs w:val="24"/>
        </w:rPr>
        <w:t>44 per cent of respondents invest in residential property for pension purposes. 62 per cent do not have a pension scheme that forms part of their employment terms and conditions.</w:t>
      </w:r>
    </w:p>
    <w:p w14:paraId="42BD6437" w14:textId="6E6F8797" w:rsidR="00490B0E" w:rsidRPr="00390ED1" w:rsidRDefault="00490B0E" w:rsidP="007F2366">
      <w:pPr>
        <w:pStyle w:val="ListParagraph"/>
        <w:numPr>
          <w:ilvl w:val="0"/>
          <w:numId w:val="15"/>
        </w:numPr>
        <w:jc w:val="both"/>
        <w:rPr>
          <w:sz w:val="24"/>
          <w:szCs w:val="24"/>
        </w:rPr>
      </w:pPr>
      <w:r w:rsidRPr="00390ED1">
        <w:rPr>
          <w:sz w:val="24"/>
          <w:szCs w:val="24"/>
        </w:rPr>
        <w:t>For just over 50 per cent</w:t>
      </w:r>
      <w:r w:rsidR="00105935" w:rsidRPr="00390ED1">
        <w:rPr>
          <w:sz w:val="24"/>
          <w:szCs w:val="24"/>
        </w:rPr>
        <w:t xml:space="preserve"> of respondents, the rental properties are the sole pension source, apart from the state pension. </w:t>
      </w:r>
    </w:p>
    <w:p w14:paraId="71F7DE61" w14:textId="77777777" w:rsidR="00853F5A" w:rsidRPr="00390ED1" w:rsidRDefault="00853F5A" w:rsidP="007F2366">
      <w:pPr>
        <w:pStyle w:val="ListParagraph"/>
        <w:numPr>
          <w:ilvl w:val="0"/>
          <w:numId w:val="15"/>
        </w:numPr>
        <w:jc w:val="both"/>
        <w:rPr>
          <w:sz w:val="24"/>
          <w:szCs w:val="24"/>
        </w:rPr>
      </w:pPr>
      <w:r w:rsidRPr="00390ED1">
        <w:rPr>
          <w:sz w:val="24"/>
          <w:szCs w:val="24"/>
        </w:rPr>
        <w:t xml:space="preserve">96 per cent of respondents believe that government policy and the introduction of rent controls are not balanced and equitable. </w:t>
      </w:r>
    </w:p>
    <w:p w14:paraId="47B1967A" w14:textId="4D628D5B" w:rsidR="005830BD" w:rsidRPr="00390ED1" w:rsidRDefault="00853F5A" w:rsidP="007F2366">
      <w:pPr>
        <w:pStyle w:val="ListParagraph"/>
        <w:numPr>
          <w:ilvl w:val="0"/>
          <w:numId w:val="15"/>
        </w:numPr>
        <w:jc w:val="both"/>
        <w:rPr>
          <w:sz w:val="24"/>
          <w:szCs w:val="24"/>
        </w:rPr>
      </w:pPr>
      <w:r w:rsidRPr="00390ED1">
        <w:rPr>
          <w:sz w:val="24"/>
          <w:szCs w:val="24"/>
        </w:rPr>
        <w:t>94 per cent of respondents be</w:t>
      </w:r>
      <w:r w:rsidR="00F24066" w:rsidRPr="00390ED1">
        <w:rPr>
          <w:sz w:val="24"/>
          <w:szCs w:val="24"/>
        </w:rPr>
        <w:t>lieve that recent Government policy and changes in regulations in the sector have impacted negatively on their attitude to continuing as a landlord in the residential rental sector.</w:t>
      </w:r>
    </w:p>
    <w:p w14:paraId="6DAC2459" w14:textId="587E3ADD" w:rsidR="00F24066" w:rsidRPr="00390ED1" w:rsidRDefault="00F24066" w:rsidP="007F2366">
      <w:pPr>
        <w:pStyle w:val="ListParagraph"/>
        <w:numPr>
          <w:ilvl w:val="0"/>
          <w:numId w:val="15"/>
        </w:numPr>
        <w:jc w:val="both"/>
        <w:rPr>
          <w:sz w:val="24"/>
          <w:szCs w:val="24"/>
        </w:rPr>
      </w:pPr>
      <w:r w:rsidRPr="00390ED1">
        <w:rPr>
          <w:sz w:val="24"/>
          <w:szCs w:val="24"/>
        </w:rPr>
        <w:t>91 per cent of respondents believe that they or their landlord clients will not continue to invest in residential investment property.</w:t>
      </w:r>
    </w:p>
    <w:p w14:paraId="5BF3D3D0" w14:textId="11014B0C" w:rsidR="00C34433" w:rsidRDefault="00F24066" w:rsidP="007F2366">
      <w:pPr>
        <w:jc w:val="both"/>
        <w:rPr>
          <w:sz w:val="24"/>
          <w:szCs w:val="24"/>
        </w:rPr>
      </w:pPr>
      <w:r>
        <w:rPr>
          <w:sz w:val="24"/>
          <w:szCs w:val="24"/>
        </w:rPr>
        <w:t>In relation to future investment</w:t>
      </w:r>
      <w:r w:rsidR="00E42F38">
        <w:rPr>
          <w:sz w:val="24"/>
          <w:szCs w:val="24"/>
        </w:rPr>
        <w:t xml:space="preserve">, Figure </w:t>
      </w:r>
      <w:r w:rsidR="00022DD5">
        <w:rPr>
          <w:sz w:val="24"/>
          <w:szCs w:val="24"/>
        </w:rPr>
        <w:t>1</w:t>
      </w:r>
      <w:r w:rsidR="00A27371">
        <w:rPr>
          <w:sz w:val="24"/>
          <w:szCs w:val="24"/>
        </w:rPr>
        <w:t>2</w:t>
      </w:r>
      <w:r w:rsidR="00E42F38">
        <w:rPr>
          <w:sz w:val="24"/>
          <w:szCs w:val="24"/>
        </w:rPr>
        <w:t xml:space="preserve"> summarises the main reasons why landlords will not invest further in residential investment property.</w:t>
      </w:r>
      <w:r>
        <w:rPr>
          <w:sz w:val="24"/>
          <w:szCs w:val="24"/>
        </w:rPr>
        <w:t xml:space="preserve"> </w:t>
      </w:r>
    </w:p>
    <w:p w14:paraId="79A8C19B" w14:textId="77777777" w:rsidR="00C34433" w:rsidRDefault="00C34433" w:rsidP="007F2366">
      <w:pPr>
        <w:jc w:val="both"/>
        <w:rPr>
          <w:sz w:val="24"/>
          <w:szCs w:val="24"/>
        </w:rPr>
      </w:pPr>
      <w:r>
        <w:rPr>
          <w:sz w:val="24"/>
          <w:szCs w:val="24"/>
        </w:rPr>
        <w:br w:type="page"/>
      </w:r>
    </w:p>
    <w:p w14:paraId="2E1A42F9" w14:textId="5A0C4D09" w:rsidR="00490B0E" w:rsidRDefault="00390ED1" w:rsidP="007F2366">
      <w:pPr>
        <w:jc w:val="both"/>
        <w:rPr>
          <w:b/>
          <w:bCs/>
          <w:sz w:val="24"/>
          <w:szCs w:val="24"/>
        </w:rPr>
      </w:pPr>
      <w:r w:rsidRPr="00390ED1">
        <w:rPr>
          <w:b/>
          <w:bCs/>
          <w:sz w:val="24"/>
          <w:szCs w:val="24"/>
        </w:rPr>
        <w:lastRenderedPageBreak/>
        <w:t xml:space="preserve">Figure </w:t>
      </w:r>
      <w:r w:rsidR="00D37661">
        <w:rPr>
          <w:b/>
          <w:bCs/>
          <w:sz w:val="24"/>
          <w:szCs w:val="24"/>
        </w:rPr>
        <w:t>1</w:t>
      </w:r>
      <w:r w:rsidR="00A27371">
        <w:rPr>
          <w:b/>
          <w:bCs/>
          <w:sz w:val="24"/>
          <w:szCs w:val="24"/>
        </w:rPr>
        <w:t>2</w:t>
      </w:r>
      <w:r w:rsidRPr="00390ED1">
        <w:rPr>
          <w:b/>
          <w:bCs/>
          <w:sz w:val="24"/>
          <w:szCs w:val="24"/>
        </w:rPr>
        <w:t>: Reasons why Landlords will not Invest Further in Residential Investment Property</w:t>
      </w:r>
    </w:p>
    <w:p w14:paraId="77B8F59B" w14:textId="597ABD2C" w:rsidR="00247492" w:rsidRDefault="00247492" w:rsidP="007F2366">
      <w:pPr>
        <w:jc w:val="both"/>
        <w:rPr>
          <w:b/>
          <w:bCs/>
          <w:sz w:val="24"/>
          <w:szCs w:val="24"/>
        </w:rPr>
      </w:pPr>
      <w:r>
        <w:rPr>
          <w:noProof/>
        </w:rPr>
        <w:drawing>
          <wp:inline distT="0" distB="0" distL="0" distR="0" wp14:anchorId="6D3068C9" wp14:editId="4A91E13D">
            <wp:extent cx="5731510" cy="3718560"/>
            <wp:effectExtent l="0" t="0" r="2540" b="15240"/>
            <wp:docPr id="21" name="Chart 21">
              <a:extLst xmlns:a="http://schemas.openxmlformats.org/drawingml/2006/main">
                <a:ext uri="{FF2B5EF4-FFF2-40B4-BE49-F238E27FC236}">
                  <a16:creationId xmlns:a16="http://schemas.microsoft.com/office/drawing/2014/main" id="{7E5CD546-D66C-41B8-A468-C7F52B682A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5F9490" w14:textId="68411A97" w:rsidR="00390ED1" w:rsidRDefault="00390ED1" w:rsidP="007F2366">
      <w:pPr>
        <w:jc w:val="both"/>
        <w:rPr>
          <w:sz w:val="24"/>
          <w:szCs w:val="24"/>
        </w:rPr>
      </w:pPr>
      <w:r>
        <w:rPr>
          <w:sz w:val="24"/>
          <w:szCs w:val="24"/>
        </w:rPr>
        <w:t>Source: IPAV/IPOA Survey</w:t>
      </w:r>
    </w:p>
    <w:p w14:paraId="24A60593" w14:textId="0A7417E9" w:rsidR="00247492" w:rsidRPr="00985226" w:rsidRDefault="00247492" w:rsidP="007F2366">
      <w:pPr>
        <w:pStyle w:val="ListParagraph"/>
        <w:numPr>
          <w:ilvl w:val="0"/>
          <w:numId w:val="16"/>
        </w:numPr>
        <w:jc w:val="both"/>
        <w:rPr>
          <w:sz w:val="24"/>
          <w:szCs w:val="24"/>
        </w:rPr>
      </w:pPr>
      <w:r w:rsidRPr="00985226">
        <w:rPr>
          <w:sz w:val="24"/>
          <w:szCs w:val="24"/>
        </w:rPr>
        <w:t>92 per cent of respondents have not purchased a property in a RPZ over past 12 months.</w:t>
      </w:r>
    </w:p>
    <w:p w14:paraId="22C5F839" w14:textId="5CDD2150" w:rsidR="00247492" w:rsidRPr="00985226" w:rsidRDefault="00247492" w:rsidP="007F2366">
      <w:pPr>
        <w:pStyle w:val="ListParagraph"/>
        <w:numPr>
          <w:ilvl w:val="0"/>
          <w:numId w:val="16"/>
        </w:numPr>
        <w:jc w:val="both"/>
        <w:rPr>
          <w:sz w:val="24"/>
          <w:szCs w:val="24"/>
        </w:rPr>
      </w:pPr>
      <w:r w:rsidRPr="00985226">
        <w:rPr>
          <w:sz w:val="24"/>
          <w:szCs w:val="24"/>
        </w:rPr>
        <w:t xml:space="preserve">57.4 per cent of respondents say that they or their landlord clients have indicated a plan to sell </w:t>
      </w:r>
      <w:r w:rsidR="00930323" w:rsidRPr="00985226">
        <w:rPr>
          <w:sz w:val="24"/>
          <w:szCs w:val="24"/>
        </w:rPr>
        <w:t>their rented properties in RPZs.</w:t>
      </w:r>
    </w:p>
    <w:p w14:paraId="2A53D5B4" w14:textId="7D2EA823" w:rsidR="007D7800" w:rsidRPr="00985226" w:rsidRDefault="007D7800" w:rsidP="007F2366">
      <w:pPr>
        <w:pStyle w:val="ListParagraph"/>
        <w:numPr>
          <w:ilvl w:val="0"/>
          <w:numId w:val="16"/>
        </w:numPr>
        <w:jc w:val="both"/>
        <w:rPr>
          <w:sz w:val="24"/>
          <w:szCs w:val="24"/>
        </w:rPr>
      </w:pPr>
      <w:r w:rsidRPr="00985226">
        <w:rPr>
          <w:sz w:val="24"/>
          <w:szCs w:val="24"/>
        </w:rPr>
        <w:t xml:space="preserve">52 per cent of respondents </w:t>
      </w:r>
      <w:r w:rsidR="0090630D" w:rsidRPr="00874EA4">
        <w:rPr>
          <w:sz w:val="24"/>
          <w:szCs w:val="24"/>
        </w:rPr>
        <w:t xml:space="preserve">say that </w:t>
      </w:r>
      <w:r w:rsidRPr="00985226">
        <w:rPr>
          <w:sz w:val="24"/>
          <w:szCs w:val="24"/>
        </w:rPr>
        <w:t xml:space="preserve">they or their </w:t>
      </w:r>
      <w:r w:rsidRPr="00874EA4">
        <w:rPr>
          <w:sz w:val="24"/>
          <w:szCs w:val="24"/>
        </w:rPr>
        <w:t>cli</w:t>
      </w:r>
      <w:r w:rsidR="00874EA4" w:rsidRPr="00874EA4">
        <w:rPr>
          <w:sz w:val="24"/>
          <w:szCs w:val="24"/>
        </w:rPr>
        <w:t>e</w:t>
      </w:r>
      <w:r w:rsidRPr="00874EA4">
        <w:rPr>
          <w:sz w:val="24"/>
          <w:szCs w:val="24"/>
        </w:rPr>
        <w:t>nts</w:t>
      </w:r>
      <w:r w:rsidRPr="00985226">
        <w:rPr>
          <w:sz w:val="24"/>
          <w:szCs w:val="24"/>
        </w:rPr>
        <w:t xml:space="preserve"> will offload up to 25 per cent of their residential investment portfolio over the next 24 months. 16 per cent suggest an offload in excess of 90 per cent of portfolio. </w:t>
      </w:r>
    </w:p>
    <w:p w14:paraId="2954D95F" w14:textId="11997C6D" w:rsidR="007D7800" w:rsidRPr="00985226" w:rsidRDefault="007D7800" w:rsidP="007F2366">
      <w:pPr>
        <w:pStyle w:val="ListParagraph"/>
        <w:numPr>
          <w:ilvl w:val="0"/>
          <w:numId w:val="16"/>
        </w:numPr>
        <w:jc w:val="both"/>
        <w:rPr>
          <w:sz w:val="24"/>
          <w:szCs w:val="24"/>
        </w:rPr>
      </w:pPr>
      <w:r w:rsidRPr="00985226">
        <w:rPr>
          <w:sz w:val="24"/>
          <w:szCs w:val="24"/>
        </w:rPr>
        <w:t xml:space="preserve">81 per cent of respondents believe that the Government’s treatment of private equity funds is not fair when compared to non-institutional residential property investors. </w:t>
      </w:r>
    </w:p>
    <w:p w14:paraId="48472D33" w14:textId="65DF9FB3" w:rsidR="007D7800" w:rsidRPr="00985226" w:rsidRDefault="007D7800" w:rsidP="007F2366">
      <w:pPr>
        <w:pStyle w:val="ListParagraph"/>
        <w:numPr>
          <w:ilvl w:val="0"/>
          <w:numId w:val="16"/>
        </w:numPr>
        <w:jc w:val="both"/>
        <w:rPr>
          <w:sz w:val="24"/>
          <w:szCs w:val="24"/>
        </w:rPr>
      </w:pPr>
      <w:r w:rsidRPr="00985226">
        <w:rPr>
          <w:sz w:val="24"/>
          <w:szCs w:val="24"/>
        </w:rPr>
        <w:t xml:space="preserve">49 per cent of respondents suggest that rental income covers all financial outgoings such as mortgage repayments, taxes and expenses. </w:t>
      </w:r>
      <w:r w:rsidR="00985226" w:rsidRPr="00985226">
        <w:rPr>
          <w:sz w:val="24"/>
          <w:szCs w:val="24"/>
        </w:rPr>
        <w:t xml:space="preserve">39 per cent suggest that rental income is not sufficient. </w:t>
      </w:r>
    </w:p>
    <w:p w14:paraId="77E557AB" w14:textId="77777777" w:rsidR="00985226" w:rsidRPr="00985226" w:rsidRDefault="00985226" w:rsidP="007F2366">
      <w:pPr>
        <w:pStyle w:val="ListParagraph"/>
        <w:numPr>
          <w:ilvl w:val="0"/>
          <w:numId w:val="16"/>
        </w:numPr>
        <w:jc w:val="both"/>
        <w:rPr>
          <w:sz w:val="24"/>
          <w:szCs w:val="24"/>
        </w:rPr>
      </w:pPr>
      <w:r w:rsidRPr="00985226">
        <w:rPr>
          <w:sz w:val="24"/>
          <w:szCs w:val="24"/>
        </w:rPr>
        <w:t xml:space="preserve">58 per cent of respondents suggest that tax is their biggest outlay, with 27 per cent suggesting the mortgage repayment. </w:t>
      </w:r>
    </w:p>
    <w:p w14:paraId="4EFE764F" w14:textId="78DC49F3" w:rsidR="00985226" w:rsidRPr="00985226" w:rsidRDefault="00985226" w:rsidP="007F2366">
      <w:pPr>
        <w:pStyle w:val="ListParagraph"/>
        <w:numPr>
          <w:ilvl w:val="0"/>
          <w:numId w:val="16"/>
        </w:numPr>
        <w:jc w:val="both"/>
        <w:rPr>
          <w:sz w:val="24"/>
          <w:szCs w:val="24"/>
        </w:rPr>
      </w:pPr>
      <w:r w:rsidRPr="00985226">
        <w:rPr>
          <w:sz w:val="24"/>
          <w:szCs w:val="24"/>
        </w:rPr>
        <w:t xml:space="preserve">42 per cent of respondents suggest that the tax bill is larger than their annual mortgage repayment. </w:t>
      </w:r>
    </w:p>
    <w:p w14:paraId="360DDC26" w14:textId="35697E18" w:rsidR="00985226" w:rsidRPr="00985226" w:rsidRDefault="00985226" w:rsidP="007F2366">
      <w:pPr>
        <w:pStyle w:val="ListParagraph"/>
        <w:numPr>
          <w:ilvl w:val="0"/>
          <w:numId w:val="16"/>
        </w:numPr>
        <w:jc w:val="both"/>
        <w:rPr>
          <w:sz w:val="24"/>
          <w:szCs w:val="24"/>
        </w:rPr>
      </w:pPr>
      <w:r w:rsidRPr="00985226">
        <w:rPr>
          <w:sz w:val="24"/>
          <w:szCs w:val="24"/>
        </w:rPr>
        <w:t xml:space="preserve">90 per cent of respondents believe it is unfair that private equity funds pay no tax on rental income. </w:t>
      </w:r>
    </w:p>
    <w:p w14:paraId="4E0F1B68" w14:textId="77777777" w:rsidR="00933604" w:rsidRDefault="00933604" w:rsidP="007F2366">
      <w:pPr>
        <w:jc w:val="both"/>
        <w:rPr>
          <w:sz w:val="24"/>
          <w:szCs w:val="24"/>
        </w:rPr>
      </w:pPr>
    </w:p>
    <w:p w14:paraId="5FA5DDCE" w14:textId="7FEBC96D" w:rsidR="00093FFC" w:rsidRPr="00CD4E0A" w:rsidRDefault="00022DD5" w:rsidP="007F2366">
      <w:pPr>
        <w:jc w:val="both"/>
        <w:rPr>
          <w:sz w:val="24"/>
          <w:szCs w:val="24"/>
        </w:rPr>
      </w:pPr>
      <w:r>
        <w:rPr>
          <w:sz w:val="24"/>
          <w:szCs w:val="24"/>
        </w:rPr>
        <w:lastRenderedPageBreak/>
        <w:t>F</w:t>
      </w:r>
      <w:r w:rsidR="00093FFC" w:rsidRPr="00CD4E0A">
        <w:rPr>
          <w:sz w:val="24"/>
          <w:szCs w:val="24"/>
        </w:rPr>
        <w:t>igure 1</w:t>
      </w:r>
      <w:r w:rsidR="00A27371">
        <w:rPr>
          <w:sz w:val="24"/>
          <w:szCs w:val="24"/>
        </w:rPr>
        <w:t>3</w:t>
      </w:r>
      <w:r w:rsidR="00093FFC" w:rsidRPr="00CD4E0A">
        <w:rPr>
          <w:sz w:val="24"/>
          <w:szCs w:val="24"/>
        </w:rPr>
        <w:t xml:space="preserve"> considers for those landlords who were not charging market rents when the RPZ was </w:t>
      </w:r>
      <w:r w:rsidR="00146A8F" w:rsidRPr="00CD4E0A">
        <w:rPr>
          <w:sz w:val="24"/>
          <w:szCs w:val="24"/>
        </w:rPr>
        <w:t>introduced and</w:t>
      </w:r>
      <w:r w:rsidR="00093FFC" w:rsidRPr="00CD4E0A">
        <w:rPr>
          <w:sz w:val="24"/>
          <w:szCs w:val="24"/>
        </w:rPr>
        <w:t xml:space="preserve"> are now precluded from exceeding increases beyond 2 per cent per annum, the extent to which their rents are behind newly introduced housing stock that can apply the full market rent.</w:t>
      </w:r>
    </w:p>
    <w:p w14:paraId="52304A27" w14:textId="4276BAB4" w:rsidR="00093FFC" w:rsidRPr="00CD4E0A" w:rsidRDefault="00093FFC" w:rsidP="007F2366">
      <w:pPr>
        <w:pStyle w:val="ListParagraph"/>
        <w:numPr>
          <w:ilvl w:val="0"/>
          <w:numId w:val="17"/>
        </w:numPr>
        <w:jc w:val="both"/>
        <w:rPr>
          <w:sz w:val="24"/>
          <w:szCs w:val="24"/>
        </w:rPr>
      </w:pPr>
      <w:r w:rsidRPr="00CD4E0A">
        <w:rPr>
          <w:sz w:val="24"/>
          <w:szCs w:val="24"/>
        </w:rPr>
        <w:t>24.4</w:t>
      </w:r>
      <w:r w:rsidR="00874EA4">
        <w:rPr>
          <w:sz w:val="24"/>
          <w:szCs w:val="24"/>
        </w:rPr>
        <w:t xml:space="preserve"> per cent</w:t>
      </w:r>
      <w:r w:rsidRPr="00CD4E0A">
        <w:rPr>
          <w:sz w:val="24"/>
          <w:szCs w:val="24"/>
        </w:rPr>
        <w:t xml:space="preserve"> </w:t>
      </w:r>
      <w:r w:rsidR="00CD4E0A" w:rsidRPr="00CD4E0A">
        <w:rPr>
          <w:sz w:val="24"/>
          <w:szCs w:val="24"/>
        </w:rPr>
        <w:t xml:space="preserve">of respondents </w:t>
      </w:r>
      <w:r w:rsidRPr="00CD4E0A">
        <w:rPr>
          <w:sz w:val="24"/>
          <w:szCs w:val="24"/>
        </w:rPr>
        <w:t>suggest that rents are up to 25 per cent behind the full market rent.</w:t>
      </w:r>
    </w:p>
    <w:p w14:paraId="2C796373" w14:textId="771BB943" w:rsidR="00CD4E0A" w:rsidRPr="00CD4E0A" w:rsidRDefault="00093FFC" w:rsidP="007F2366">
      <w:pPr>
        <w:pStyle w:val="ListParagraph"/>
        <w:numPr>
          <w:ilvl w:val="0"/>
          <w:numId w:val="17"/>
        </w:numPr>
        <w:jc w:val="both"/>
        <w:rPr>
          <w:sz w:val="24"/>
          <w:szCs w:val="24"/>
        </w:rPr>
      </w:pPr>
      <w:r w:rsidRPr="00CD4E0A">
        <w:rPr>
          <w:sz w:val="24"/>
          <w:szCs w:val="24"/>
        </w:rPr>
        <w:t xml:space="preserve">50 per cent </w:t>
      </w:r>
      <w:r w:rsidR="00CD4E0A" w:rsidRPr="00CD4E0A">
        <w:rPr>
          <w:sz w:val="24"/>
          <w:szCs w:val="24"/>
        </w:rPr>
        <w:t xml:space="preserve">of respondents </w:t>
      </w:r>
      <w:r w:rsidRPr="00CD4E0A">
        <w:rPr>
          <w:sz w:val="24"/>
          <w:szCs w:val="24"/>
        </w:rPr>
        <w:t xml:space="preserve">suggest </w:t>
      </w:r>
      <w:r w:rsidR="00CD4E0A" w:rsidRPr="00CD4E0A">
        <w:rPr>
          <w:sz w:val="24"/>
          <w:szCs w:val="24"/>
        </w:rPr>
        <w:t>that rents are between 26 per cent and 49 per cent behind the full market rent.</w:t>
      </w:r>
    </w:p>
    <w:p w14:paraId="2B1738EF" w14:textId="372F236A" w:rsidR="00985226" w:rsidRPr="00093FFC" w:rsidRDefault="00093FFC" w:rsidP="007F2366">
      <w:pPr>
        <w:jc w:val="both"/>
        <w:rPr>
          <w:b/>
          <w:bCs/>
          <w:sz w:val="24"/>
          <w:szCs w:val="24"/>
        </w:rPr>
      </w:pPr>
      <w:r w:rsidRPr="00093FFC">
        <w:rPr>
          <w:b/>
          <w:bCs/>
          <w:sz w:val="24"/>
          <w:szCs w:val="24"/>
        </w:rPr>
        <w:t>Figure 1</w:t>
      </w:r>
      <w:r w:rsidR="00A27371">
        <w:rPr>
          <w:b/>
          <w:bCs/>
          <w:sz w:val="24"/>
          <w:szCs w:val="24"/>
        </w:rPr>
        <w:t>3</w:t>
      </w:r>
      <w:r w:rsidRPr="00093FFC">
        <w:rPr>
          <w:b/>
          <w:bCs/>
          <w:sz w:val="24"/>
          <w:szCs w:val="24"/>
        </w:rPr>
        <w:t>: Impact of RPZ on Market Rents</w:t>
      </w:r>
    </w:p>
    <w:p w14:paraId="3879BF3F" w14:textId="6BE8BEEF" w:rsidR="00093FFC" w:rsidRDefault="00093FFC" w:rsidP="007F2366">
      <w:pPr>
        <w:jc w:val="both"/>
        <w:rPr>
          <w:sz w:val="24"/>
          <w:szCs w:val="24"/>
        </w:rPr>
      </w:pPr>
      <w:r>
        <w:rPr>
          <w:noProof/>
        </w:rPr>
        <w:drawing>
          <wp:inline distT="0" distB="0" distL="0" distR="0" wp14:anchorId="5AF1CC76" wp14:editId="52D18747">
            <wp:extent cx="5600700" cy="3093720"/>
            <wp:effectExtent l="0" t="0" r="0" b="11430"/>
            <wp:docPr id="22" name="Chart 22">
              <a:extLst xmlns:a="http://schemas.openxmlformats.org/drawingml/2006/main">
                <a:ext uri="{FF2B5EF4-FFF2-40B4-BE49-F238E27FC236}">
                  <a16:creationId xmlns:a16="http://schemas.microsoft.com/office/drawing/2014/main" id="{2470F975-6BB2-421A-BAE0-159CA86743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B0058B" w14:textId="77777777" w:rsidR="00093FFC" w:rsidRDefault="00093FFC" w:rsidP="007F2366">
      <w:pPr>
        <w:jc w:val="both"/>
        <w:rPr>
          <w:sz w:val="24"/>
          <w:szCs w:val="24"/>
        </w:rPr>
      </w:pPr>
      <w:r>
        <w:rPr>
          <w:sz w:val="24"/>
          <w:szCs w:val="24"/>
        </w:rPr>
        <w:t>Source: IPAV/IPOA Survey</w:t>
      </w:r>
    </w:p>
    <w:p w14:paraId="3AECC4AF" w14:textId="7F2301D7" w:rsidR="00CD4E0A" w:rsidRPr="00A61183" w:rsidRDefault="00CD4E0A" w:rsidP="007F2366">
      <w:pPr>
        <w:pStyle w:val="ListParagraph"/>
        <w:numPr>
          <w:ilvl w:val="0"/>
          <w:numId w:val="18"/>
        </w:numPr>
        <w:jc w:val="both"/>
        <w:rPr>
          <w:sz w:val="24"/>
          <w:szCs w:val="24"/>
        </w:rPr>
      </w:pPr>
      <w:r w:rsidRPr="00A61183">
        <w:rPr>
          <w:sz w:val="24"/>
          <w:szCs w:val="24"/>
        </w:rPr>
        <w:t>80 per cent of respondents suggest that the standard of rental properties in RPZs ha</w:t>
      </w:r>
      <w:r w:rsidR="00146A8F">
        <w:rPr>
          <w:sz w:val="24"/>
          <w:szCs w:val="24"/>
        </w:rPr>
        <w:t>s</w:t>
      </w:r>
      <w:r w:rsidRPr="00A61183">
        <w:rPr>
          <w:sz w:val="24"/>
          <w:szCs w:val="24"/>
        </w:rPr>
        <w:t xml:space="preserve"> declined since the introduction of rent controls, due to some landlords not being able to charge market rent.</w:t>
      </w:r>
    </w:p>
    <w:p w14:paraId="27D7143A" w14:textId="77777777" w:rsidR="00CD4E0A" w:rsidRPr="00A61183" w:rsidRDefault="00CD4E0A" w:rsidP="007F2366">
      <w:pPr>
        <w:pStyle w:val="ListParagraph"/>
        <w:numPr>
          <w:ilvl w:val="0"/>
          <w:numId w:val="18"/>
        </w:numPr>
        <w:jc w:val="both"/>
        <w:rPr>
          <w:sz w:val="24"/>
          <w:szCs w:val="24"/>
        </w:rPr>
      </w:pPr>
      <w:r w:rsidRPr="00A61183">
        <w:rPr>
          <w:sz w:val="24"/>
          <w:szCs w:val="24"/>
        </w:rPr>
        <w:t xml:space="preserve">81 per cent of respondents suggest that the value of residential property located in RPZs that are not charging market rents has declined. </w:t>
      </w:r>
    </w:p>
    <w:p w14:paraId="2F1C23C4" w14:textId="0CB6A5C0" w:rsidR="00CD4E0A" w:rsidRPr="00A61183" w:rsidRDefault="00CD4E0A" w:rsidP="007F2366">
      <w:pPr>
        <w:pStyle w:val="ListParagraph"/>
        <w:numPr>
          <w:ilvl w:val="0"/>
          <w:numId w:val="18"/>
        </w:numPr>
        <w:jc w:val="both"/>
        <w:rPr>
          <w:sz w:val="24"/>
          <w:szCs w:val="24"/>
        </w:rPr>
      </w:pPr>
      <w:r w:rsidRPr="00A61183">
        <w:rPr>
          <w:sz w:val="24"/>
          <w:szCs w:val="24"/>
        </w:rPr>
        <w:t>95 per cent of respondents suggest that RPZs have created a two-tier rental market.</w:t>
      </w:r>
    </w:p>
    <w:p w14:paraId="6CBB9E52" w14:textId="77777777" w:rsidR="00C0450E" w:rsidRPr="00A61183" w:rsidRDefault="00CD4E0A" w:rsidP="007F2366">
      <w:pPr>
        <w:pStyle w:val="ListParagraph"/>
        <w:numPr>
          <w:ilvl w:val="0"/>
          <w:numId w:val="18"/>
        </w:numPr>
        <w:jc w:val="both"/>
        <w:rPr>
          <w:sz w:val="24"/>
          <w:szCs w:val="24"/>
        </w:rPr>
      </w:pPr>
      <w:r w:rsidRPr="00A61183">
        <w:rPr>
          <w:sz w:val="24"/>
          <w:szCs w:val="24"/>
        </w:rPr>
        <w:t xml:space="preserve">93.4 per cent of respondents suggest that </w:t>
      </w:r>
      <w:r w:rsidR="00C0450E" w:rsidRPr="00A61183">
        <w:rPr>
          <w:sz w:val="24"/>
          <w:szCs w:val="24"/>
        </w:rPr>
        <w:t>property investors are leaving the residential investment property market due to not being able to charge market rent in RPZs.</w:t>
      </w:r>
    </w:p>
    <w:p w14:paraId="2CB37CB6" w14:textId="77777777" w:rsidR="00C0450E" w:rsidRPr="00A61183" w:rsidRDefault="00C0450E" w:rsidP="007F2366">
      <w:pPr>
        <w:pStyle w:val="ListParagraph"/>
        <w:numPr>
          <w:ilvl w:val="0"/>
          <w:numId w:val="18"/>
        </w:numPr>
        <w:jc w:val="both"/>
        <w:rPr>
          <w:sz w:val="24"/>
          <w:szCs w:val="24"/>
        </w:rPr>
      </w:pPr>
      <w:r w:rsidRPr="00A61183">
        <w:rPr>
          <w:sz w:val="24"/>
          <w:szCs w:val="24"/>
        </w:rPr>
        <w:t>87 per cent of respondents suggest that RPZs are unconstitutional or are an illegal interference in property rights.</w:t>
      </w:r>
    </w:p>
    <w:p w14:paraId="1F76314F" w14:textId="77777777" w:rsidR="00C0450E" w:rsidRPr="00A61183" w:rsidRDefault="00C0450E" w:rsidP="007F2366">
      <w:pPr>
        <w:pStyle w:val="ListParagraph"/>
        <w:numPr>
          <w:ilvl w:val="0"/>
          <w:numId w:val="18"/>
        </w:numPr>
        <w:jc w:val="both"/>
        <w:rPr>
          <w:sz w:val="24"/>
          <w:szCs w:val="24"/>
        </w:rPr>
      </w:pPr>
      <w:r w:rsidRPr="00A61183">
        <w:rPr>
          <w:sz w:val="24"/>
          <w:szCs w:val="24"/>
        </w:rPr>
        <w:t>91 per cent of respondents suggest that Government should remove rent controls in order to encourage investment in residential property for non-institutional landlords as a solution to the housing crisis.</w:t>
      </w:r>
    </w:p>
    <w:p w14:paraId="15FDDD10" w14:textId="77777777" w:rsidR="00C0450E" w:rsidRPr="00A61183" w:rsidRDefault="00C0450E" w:rsidP="007F2366">
      <w:pPr>
        <w:pStyle w:val="ListParagraph"/>
        <w:numPr>
          <w:ilvl w:val="0"/>
          <w:numId w:val="18"/>
        </w:numPr>
        <w:jc w:val="both"/>
        <w:rPr>
          <w:sz w:val="24"/>
          <w:szCs w:val="24"/>
        </w:rPr>
      </w:pPr>
      <w:r w:rsidRPr="00A61183">
        <w:rPr>
          <w:sz w:val="24"/>
          <w:szCs w:val="24"/>
        </w:rPr>
        <w:lastRenderedPageBreak/>
        <w:t>86 per cent of respondents would support a legal challenge to the RPZ legislation in order to ensure market rents can be charged on properties.</w:t>
      </w:r>
    </w:p>
    <w:p w14:paraId="0171A800" w14:textId="5FA97996" w:rsidR="0072229E" w:rsidRDefault="00A61183" w:rsidP="007F2366">
      <w:pPr>
        <w:jc w:val="both"/>
        <w:rPr>
          <w:sz w:val="24"/>
          <w:szCs w:val="24"/>
        </w:rPr>
      </w:pPr>
      <w:r>
        <w:rPr>
          <w:sz w:val="24"/>
          <w:szCs w:val="24"/>
        </w:rPr>
        <w:t xml:space="preserve">Surveys by their nature can be subjective, but it is clear from survey and research data from </w:t>
      </w:r>
      <w:proofErr w:type="spellStart"/>
      <w:r>
        <w:rPr>
          <w:sz w:val="24"/>
          <w:szCs w:val="24"/>
        </w:rPr>
        <w:t>Amárach</w:t>
      </w:r>
      <w:proofErr w:type="spellEnd"/>
      <w:r>
        <w:rPr>
          <w:sz w:val="24"/>
          <w:szCs w:val="24"/>
        </w:rPr>
        <w:t xml:space="preserve"> Research, Sherry FitzGerald, IPAV &amp; IPOA that private non-institutional landlords are finding the current regulatory and taxation environment very challenging. This is causing an exit of private landlords from the market and is reducing the supply of rental property at a time when significant increases are required to satisfy demand and create a functioning residential property market. </w:t>
      </w:r>
      <w:r w:rsidR="0072229E">
        <w:rPr>
          <w:sz w:val="24"/>
          <w:szCs w:val="24"/>
        </w:rPr>
        <w:br w:type="page"/>
      </w:r>
    </w:p>
    <w:p w14:paraId="5191C7D3" w14:textId="021F4E92" w:rsidR="00930323" w:rsidRDefault="0072229E" w:rsidP="007F2366">
      <w:pPr>
        <w:pStyle w:val="Heading1"/>
        <w:jc w:val="both"/>
      </w:pPr>
      <w:bookmarkStart w:id="9" w:name="_Toc103266211"/>
      <w:r>
        <w:lastRenderedPageBreak/>
        <w:t>SECTION 6: ISSUES FOR PRIVATE LANDLORDS</w:t>
      </w:r>
      <w:bookmarkEnd w:id="9"/>
    </w:p>
    <w:p w14:paraId="0615ECAA" w14:textId="5DC8FF37" w:rsidR="00F7073B" w:rsidRPr="008428EB" w:rsidRDefault="00F7073B" w:rsidP="007F2366">
      <w:pPr>
        <w:jc w:val="both"/>
        <w:rPr>
          <w:sz w:val="24"/>
          <w:szCs w:val="24"/>
        </w:rPr>
      </w:pPr>
    </w:p>
    <w:p w14:paraId="02F3CF0E" w14:textId="5BA368DC" w:rsidR="00C92E02" w:rsidRPr="00C62589" w:rsidRDefault="00C92E02" w:rsidP="007F2366">
      <w:pPr>
        <w:jc w:val="both"/>
        <w:rPr>
          <w:sz w:val="24"/>
          <w:szCs w:val="24"/>
        </w:rPr>
      </w:pPr>
      <w:r w:rsidRPr="00C62589">
        <w:rPr>
          <w:sz w:val="24"/>
          <w:szCs w:val="24"/>
        </w:rPr>
        <w:t>Private landlords are decreasing in numerical terms as thousands exit the market. The various surveys quoted in this report highlight the views of private landlords and give a clear indication why many such landlords are voting with</w:t>
      </w:r>
      <w:r w:rsidR="008428EB" w:rsidRPr="00C62589">
        <w:rPr>
          <w:sz w:val="24"/>
          <w:szCs w:val="24"/>
        </w:rPr>
        <w:t xml:space="preserve"> their feet and are exiting the market. </w:t>
      </w:r>
    </w:p>
    <w:p w14:paraId="26FAB6C3" w14:textId="5FF61E0F" w:rsidR="008428EB" w:rsidRPr="00C62589" w:rsidRDefault="008428EB" w:rsidP="007F2366">
      <w:pPr>
        <w:jc w:val="both"/>
        <w:rPr>
          <w:sz w:val="24"/>
          <w:szCs w:val="24"/>
        </w:rPr>
      </w:pPr>
      <w:r w:rsidRPr="00C62589">
        <w:rPr>
          <w:sz w:val="24"/>
          <w:szCs w:val="24"/>
        </w:rPr>
        <w:t xml:space="preserve">The key issues of concern for private landlords include Rent Pressure Zones, the different treatment of institutional landlords in relation to taxation, </w:t>
      </w:r>
      <w:r w:rsidR="00C62589">
        <w:rPr>
          <w:sz w:val="24"/>
          <w:szCs w:val="24"/>
        </w:rPr>
        <w:t xml:space="preserve">and </w:t>
      </w:r>
      <w:r w:rsidRPr="00C62589">
        <w:rPr>
          <w:sz w:val="24"/>
          <w:szCs w:val="24"/>
        </w:rPr>
        <w:t>the frequent changes to taxation and the regulatory environment</w:t>
      </w:r>
      <w:r w:rsidR="00C62589">
        <w:rPr>
          <w:sz w:val="24"/>
          <w:szCs w:val="24"/>
        </w:rPr>
        <w:t xml:space="preserve">. </w:t>
      </w:r>
      <w:r w:rsidRPr="00C62589">
        <w:rPr>
          <w:sz w:val="24"/>
          <w:szCs w:val="24"/>
        </w:rPr>
        <w:t xml:space="preserve"> </w:t>
      </w:r>
    </w:p>
    <w:p w14:paraId="2C48D0A1" w14:textId="3FB52F03" w:rsidR="00F7073B" w:rsidRPr="00045E19" w:rsidRDefault="00045E19" w:rsidP="007F2366">
      <w:pPr>
        <w:jc w:val="both"/>
        <w:rPr>
          <w:b/>
          <w:bCs/>
          <w:sz w:val="28"/>
          <w:szCs w:val="28"/>
        </w:rPr>
      </w:pPr>
      <w:r w:rsidRPr="00045E19">
        <w:rPr>
          <w:b/>
          <w:bCs/>
          <w:sz w:val="28"/>
          <w:szCs w:val="28"/>
        </w:rPr>
        <w:t>RENT PRESSURE ZONES (RPZs)</w:t>
      </w:r>
    </w:p>
    <w:p w14:paraId="693F70FE" w14:textId="49F1B2AA" w:rsidR="001114C1" w:rsidRPr="00874EA4" w:rsidRDefault="00C92E02" w:rsidP="007F2366">
      <w:pPr>
        <w:jc w:val="both"/>
        <w:rPr>
          <w:rFonts w:cstheme="minorHAnsi"/>
          <w:sz w:val="24"/>
          <w:szCs w:val="24"/>
          <w:shd w:val="clear" w:color="auto" w:fill="FFFFFF"/>
        </w:rPr>
      </w:pPr>
      <w:r>
        <w:rPr>
          <w:sz w:val="24"/>
          <w:szCs w:val="24"/>
        </w:rPr>
        <w:t xml:space="preserve">Rent Pressure Zones (RPZs) were introduced in Ireland in 2016, but RPZs commenced in different areas on different dates. </w:t>
      </w:r>
      <w:r w:rsidR="00BA0EF3">
        <w:rPr>
          <w:sz w:val="24"/>
          <w:szCs w:val="24"/>
        </w:rPr>
        <w:t xml:space="preserve">The initial legislation meant that rents could not be increased by more than 4 per cent per annum. In 2021, the RPZ legislation was amended and </w:t>
      </w:r>
      <w:r w:rsidR="00BA0EF3" w:rsidRPr="00874EA4">
        <w:rPr>
          <w:sz w:val="24"/>
          <w:szCs w:val="24"/>
        </w:rPr>
        <w:t xml:space="preserve">the new </w:t>
      </w:r>
      <w:r w:rsidR="001114C1" w:rsidRPr="00874EA4">
        <w:rPr>
          <w:rFonts w:cstheme="minorHAnsi"/>
          <w:sz w:val="24"/>
          <w:szCs w:val="24"/>
          <w:shd w:val="clear" w:color="auto" w:fill="FFFFFF"/>
        </w:rPr>
        <w:t xml:space="preserve">legislation extends all current Rent Pressure Zones out until 31 December 2024. </w:t>
      </w:r>
    </w:p>
    <w:p w14:paraId="73630157" w14:textId="77777777" w:rsidR="009F1621" w:rsidRPr="00874EA4" w:rsidRDefault="009F1621" w:rsidP="007F2366">
      <w:pPr>
        <w:jc w:val="both"/>
        <w:rPr>
          <w:rFonts w:eastAsia="Times New Roman"/>
          <w:sz w:val="24"/>
          <w:szCs w:val="24"/>
          <w:lang w:eastAsia="en-IE"/>
        </w:rPr>
      </w:pPr>
      <w:r w:rsidRPr="00874EA4">
        <w:rPr>
          <w:rFonts w:eastAsia="Times New Roman"/>
          <w:sz w:val="24"/>
          <w:szCs w:val="24"/>
          <w:lang w:eastAsia="en-IE"/>
        </w:rPr>
        <w:t>For an area to be designated a Rent Pressure Zone, the following criteria is used: </w:t>
      </w:r>
    </w:p>
    <w:p w14:paraId="38376037" w14:textId="77777777" w:rsidR="009F1621" w:rsidRPr="00874EA4" w:rsidRDefault="009F1621" w:rsidP="007F2366">
      <w:pPr>
        <w:pStyle w:val="ListParagraph"/>
        <w:numPr>
          <w:ilvl w:val="0"/>
          <w:numId w:val="21"/>
        </w:numPr>
        <w:jc w:val="both"/>
        <w:rPr>
          <w:rFonts w:eastAsia="Times New Roman"/>
          <w:sz w:val="24"/>
          <w:szCs w:val="24"/>
          <w:lang w:eastAsia="en-IE"/>
        </w:rPr>
      </w:pPr>
      <w:r w:rsidRPr="00874EA4">
        <w:rPr>
          <w:rFonts w:eastAsia="Times New Roman"/>
          <w:sz w:val="24"/>
          <w:szCs w:val="24"/>
          <w:lang w:eastAsia="en-IE"/>
        </w:rPr>
        <w:t>The standardised average rent in the previous quarter must be above the appropriate reference standardised average rent in the quarter. </w:t>
      </w:r>
    </w:p>
    <w:p w14:paraId="3F72F054" w14:textId="397756FA" w:rsidR="009F1621" w:rsidRPr="00874EA4" w:rsidRDefault="009F1621" w:rsidP="007F2366">
      <w:pPr>
        <w:pStyle w:val="ListParagraph"/>
        <w:numPr>
          <w:ilvl w:val="0"/>
          <w:numId w:val="21"/>
        </w:numPr>
        <w:jc w:val="both"/>
        <w:rPr>
          <w:rFonts w:eastAsia="Times New Roman"/>
          <w:sz w:val="24"/>
          <w:szCs w:val="24"/>
          <w:lang w:eastAsia="en-IE"/>
        </w:rPr>
      </w:pPr>
      <w:r w:rsidRPr="00874EA4">
        <w:rPr>
          <w:rFonts w:eastAsia="Times New Roman"/>
          <w:sz w:val="24"/>
          <w:szCs w:val="24"/>
          <w:lang w:eastAsia="en-IE"/>
        </w:rPr>
        <w:t>The annual rate of rent inflation in the area must have been 7 per cent or more in four of the last six quarters. </w:t>
      </w:r>
    </w:p>
    <w:p w14:paraId="3F152F46" w14:textId="24B55432" w:rsidR="009F1621" w:rsidRPr="00874EA4" w:rsidRDefault="009F1621" w:rsidP="007F2366">
      <w:pPr>
        <w:jc w:val="both"/>
        <w:rPr>
          <w:rFonts w:eastAsia="Times New Roman"/>
          <w:sz w:val="24"/>
          <w:szCs w:val="24"/>
          <w:lang w:eastAsia="en-IE"/>
        </w:rPr>
      </w:pPr>
      <w:r w:rsidRPr="00874EA4">
        <w:rPr>
          <w:rFonts w:eastAsia="Times New Roman"/>
          <w:sz w:val="24"/>
          <w:szCs w:val="24"/>
          <w:lang w:eastAsia="en-IE"/>
        </w:rPr>
        <w:t>Rent Pressure Zones are located in parts of the country where rents are highest and rising, and where households have the greatest difficulty finding affordable accommodation. They are intended to moderate the rise in rents in these areas and create a stable and sustainable rental market that allows landlord</w:t>
      </w:r>
      <w:r w:rsidR="0090630D" w:rsidRPr="00874EA4">
        <w:rPr>
          <w:rFonts w:eastAsia="Times New Roman"/>
          <w:sz w:val="24"/>
          <w:szCs w:val="24"/>
          <w:lang w:eastAsia="en-IE"/>
        </w:rPr>
        <w:t>s</w:t>
      </w:r>
      <w:r w:rsidRPr="00874EA4">
        <w:rPr>
          <w:rFonts w:eastAsia="Times New Roman"/>
          <w:sz w:val="24"/>
          <w:szCs w:val="24"/>
          <w:lang w:eastAsia="en-IE"/>
        </w:rPr>
        <w:t xml:space="preserve"> and tenants to plan financially for their future.</w:t>
      </w:r>
    </w:p>
    <w:p w14:paraId="5D26E589" w14:textId="7FEC1B29" w:rsidR="00045E19" w:rsidRPr="00874EA4" w:rsidRDefault="00BA0EF3" w:rsidP="007F2366">
      <w:pPr>
        <w:jc w:val="both"/>
        <w:rPr>
          <w:rFonts w:eastAsia="Times New Roman"/>
          <w:sz w:val="24"/>
          <w:szCs w:val="24"/>
          <w:lang w:eastAsia="en-IE"/>
        </w:rPr>
      </w:pPr>
      <w:r w:rsidRPr="00874EA4">
        <w:rPr>
          <w:rFonts w:eastAsia="Times New Roman"/>
          <w:sz w:val="24"/>
          <w:szCs w:val="24"/>
          <w:lang w:eastAsia="en-IE"/>
        </w:rPr>
        <w:t>The amended legislation means that a</w:t>
      </w:r>
      <w:r w:rsidR="00045E19" w:rsidRPr="00874EA4">
        <w:rPr>
          <w:rFonts w:eastAsia="Times New Roman"/>
          <w:sz w:val="24"/>
          <w:szCs w:val="24"/>
          <w:lang w:eastAsia="en-IE"/>
        </w:rPr>
        <w:t xml:space="preserve"> Rent Pressure Zone (RPZ) is a designated area where rents cannot be increased by more than general inflation, as recorded by the Harmonised Index of Consumer Prices (HICP). Any rent increase in a RPZ cannot exceed general inflation, as recorded by the HICP and the rent previously set, cannot increase by more than 2 per cent per year pro rata, where HICP inflation is higher. This applies to new and existing tenancies (unless an exemption is being applied). </w:t>
      </w:r>
    </w:p>
    <w:p w14:paraId="1FDAF273" w14:textId="61D2783B" w:rsidR="004227DB" w:rsidRPr="00874EA4" w:rsidRDefault="004227DB" w:rsidP="007F2366">
      <w:pPr>
        <w:jc w:val="both"/>
        <w:rPr>
          <w:rFonts w:eastAsia="Times New Roman"/>
          <w:sz w:val="24"/>
          <w:szCs w:val="24"/>
          <w:lang w:eastAsia="en-IE"/>
        </w:rPr>
      </w:pPr>
      <w:r w:rsidRPr="00874EA4">
        <w:rPr>
          <w:rFonts w:eastAsia="Times New Roman"/>
          <w:sz w:val="24"/>
          <w:szCs w:val="24"/>
          <w:lang w:eastAsia="en-IE"/>
        </w:rPr>
        <w:t xml:space="preserve">In March 2022, the annual increase in the HICP in Ireland was running at 6.9 per cent </w:t>
      </w:r>
      <w:r w:rsidR="00EE7447" w:rsidRPr="00874EA4">
        <w:rPr>
          <w:rFonts w:eastAsia="Times New Roman"/>
          <w:sz w:val="24"/>
          <w:szCs w:val="24"/>
          <w:lang w:eastAsia="en-IE"/>
        </w:rPr>
        <w:t xml:space="preserve">and averaged 3.7 per cent in the period from March 2021 to March 2022. This represents a real decline in rent in an environment where landlord costs are rising strongly. </w:t>
      </w:r>
    </w:p>
    <w:p w14:paraId="69EBB9E3" w14:textId="77777777" w:rsidR="006C7C75" w:rsidRPr="00874EA4" w:rsidRDefault="006C7C75" w:rsidP="007F2366">
      <w:pPr>
        <w:jc w:val="both"/>
        <w:rPr>
          <w:sz w:val="24"/>
          <w:szCs w:val="24"/>
          <w:lang w:eastAsia="en-IE"/>
        </w:rPr>
      </w:pPr>
      <w:r w:rsidRPr="00874EA4">
        <w:rPr>
          <w:sz w:val="24"/>
          <w:szCs w:val="24"/>
          <w:lang w:eastAsia="en-IE"/>
        </w:rPr>
        <w:t>Following the designation of a Rent Pressure Zone, all existing tenancies at the relevant date of designation are still covered by the 24 month rent certainty laws. Therefore, a landlord must wait 24 months from the tenancy commencing or 24 months from the service of the last rent review notice before serving a further rent review.   </w:t>
      </w:r>
    </w:p>
    <w:p w14:paraId="13473686" w14:textId="6F5DA4D4" w:rsidR="006C7C75" w:rsidRPr="00874EA4" w:rsidRDefault="006C7C75" w:rsidP="007F2366">
      <w:pPr>
        <w:jc w:val="both"/>
        <w:rPr>
          <w:sz w:val="24"/>
          <w:szCs w:val="24"/>
          <w:lang w:eastAsia="en-IE"/>
        </w:rPr>
      </w:pPr>
      <w:r w:rsidRPr="00874EA4">
        <w:rPr>
          <w:sz w:val="24"/>
          <w:szCs w:val="24"/>
          <w:lang w:eastAsia="en-IE"/>
        </w:rPr>
        <w:lastRenderedPageBreak/>
        <w:t>In order for a rent review to be valid, landlords must give tenants at least 90 days’ notice and use the prescribed </w:t>
      </w:r>
      <w:r w:rsidR="002070A7" w:rsidRPr="00874EA4">
        <w:rPr>
          <w:sz w:val="24"/>
          <w:szCs w:val="24"/>
          <w:lang w:eastAsia="en-IE"/>
        </w:rPr>
        <w:t>’</w:t>
      </w:r>
      <w:hyperlink r:id="rId27" w:history="1">
        <w:r w:rsidRPr="00874EA4">
          <w:rPr>
            <w:sz w:val="24"/>
            <w:szCs w:val="24"/>
            <w:bdr w:val="none" w:sz="0" w:space="0" w:color="auto" w:frame="1"/>
            <w:lang w:eastAsia="en-IE"/>
          </w:rPr>
          <w:t>Notice of Rent Review Form</w:t>
        </w:r>
      </w:hyperlink>
      <w:r w:rsidRPr="00874EA4">
        <w:rPr>
          <w:sz w:val="24"/>
          <w:szCs w:val="24"/>
          <w:lang w:eastAsia="en-IE"/>
        </w:rPr>
        <w:t> to serve it on the tenant. The rent being sought should not be more than local market rents for similar</w:t>
      </w:r>
      <w:r w:rsidR="009F1621" w:rsidRPr="00874EA4">
        <w:rPr>
          <w:sz w:val="24"/>
          <w:szCs w:val="24"/>
          <w:lang w:eastAsia="en-IE"/>
        </w:rPr>
        <w:t xml:space="preserve"> p</w:t>
      </w:r>
      <w:r w:rsidRPr="00874EA4">
        <w:rPr>
          <w:sz w:val="24"/>
          <w:szCs w:val="24"/>
          <w:lang w:eastAsia="en-IE"/>
        </w:rPr>
        <w:t>roperties.</w:t>
      </w:r>
    </w:p>
    <w:p w14:paraId="545BB3BA" w14:textId="53F2AC35" w:rsidR="006C7C75" w:rsidRPr="00874EA4" w:rsidRDefault="006C7C75" w:rsidP="007F2366">
      <w:pPr>
        <w:jc w:val="both"/>
        <w:rPr>
          <w:sz w:val="24"/>
          <w:szCs w:val="24"/>
          <w:lang w:eastAsia="en-IE"/>
        </w:rPr>
      </w:pPr>
      <w:r w:rsidRPr="00874EA4">
        <w:rPr>
          <w:sz w:val="24"/>
          <w:szCs w:val="24"/>
          <w:lang w:eastAsia="en-IE"/>
        </w:rPr>
        <w:t>After an initial rent review, the landlord will be entitled to review the rent every 12 months. Irrespective of the calculation made, there is no obligation on a landlord to increase the current rent amount and there is no legal obstacle to a rent reduction.   </w:t>
      </w:r>
    </w:p>
    <w:p w14:paraId="7C3E9922" w14:textId="7471CD39" w:rsidR="00F82953" w:rsidRPr="00874EA4" w:rsidRDefault="00F82953" w:rsidP="007F2366">
      <w:pPr>
        <w:jc w:val="both"/>
        <w:rPr>
          <w:sz w:val="24"/>
          <w:szCs w:val="24"/>
        </w:rPr>
      </w:pPr>
      <w:r w:rsidRPr="00874EA4">
        <w:rPr>
          <w:sz w:val="24"/>
          <w:szCs w:val="24"/>
        </w:rPr>
        <w:t xml:space="preserve">It is very clear that RPZs have not solved the rental crisis and indeed there is clear evidence that the law of unintended consequences has been intended and that the legislation has been counter-productive and ineffective in many ways. </w:t>
      </w:r>
    </w:p>
    <w:p w14:paraId="3A10D4CA" w14:textId="77777777" w:rsidR="00CB4E6E" w:rsidRPr="00874EA4" w:rsidRDefault="00CB4E6E" w:rsidP="007F2366">
      <w:pPr>
        <w:pStyle w:val="ListParagraph"/>
        <w:numPr>
          <w:ilvl w:val="0"/>
          <w:numId w:val="22"/>
        </w:numPr>
        <w:jc w:val="both"/>
        <w:rPr>
          <w:sz w:val="24"/>
          <w:szCs w:val="24"/>
        </w:rPr>
      </w:pPr>
      <w:r w:rsidRPr="00874EA4">
        <w:rPr>
          <w:sz w:val="24"/>
          <w:szCs w:val="24"/>
        </w:rPr>
        <w:t>Rents have continued to increase strongly at a national level since RPZs were introduced. This is suggestive of the fact that RPZs are seeking to tackle the symptoms of the rental crisis rather than the cause. The main cause of the rental crisis is the lack of adequate supply of rental properties, a fact that is being exacerbated by the ongoing exodus of private landlords from the rental market. Institutional landlords are active in the rental market, but by their very nature they tend to be concentrated in certain areas.</w:t>
      </w:r>
    </w:p>
    <w:p w14:paraId="4CDAEBEF" w14:textId="5EB130D3" w:rsidR="00F82953" w:rsidRPr="00874EA4" w:rsidRDefault="00CB4E6E" w:rsidP="007F2366">
      <w:pPr>
        <w:pStyle w:val="ListParagraph"/>
        <w:numPr>
          <w:ilvl w:val="0"/>
          <w:numId w:val="22"/>
        </w:numPr>
        <w:jc w:val="both"/>
        <w:rPr>
          <w:sz w:val="24"/>
          <w:szCs w:val="24"/>
        </w:rPr>
      </w:pPr>
      <w:r w:rsidRPr="00874EA4">
        <w:rPr>
          <w:sz w:val="24"/>
          <w:szCs w:val="24"/>
        </w:rPr>
        <w:t>RPZs have not succeed</w:t>
      </w:r>
      <w:r w:rsidR="00A03B37">
        <w:rPr>
          <w:sz w:val="24"/>
          <w:szCs w:val="24"/>
        </w:rPr>
        <w:t>ed</w:t>
      </w:r>
      <w:r w:rsidRPr="00874EA4">
        <w:rPr>
          <w:sz w:val="24"/>
          <w:szCs w:val="24"/>
        </w:rPr>
        <w:t xml:space="preserve"> in preventing rents from rising strongly, but they have also resulted in downward rigidity in rents. During the period of the great financial crash</w:t>
      </w:r>
      <w:r w:rsidR="000770AC" w:rsidRPr="00874EA4">
        <w:rPr>
          <w:sz w:val="24"/>
          <w:szCs w:val="24"/>
        </w:rPr>
        <w:t>, private rents fell sharply by 25</w:t>
      </w:r>
      <w:r w:rsidR="00944523" w:rsidRPr="00874EA4">
        <w:rPr>
          <w:sz w:val="24"/>
          <w:szCs w:val="24"/>
        </w:rPr>
        <w:t>.</w:t>
      </w:r>
      <w:r w:rsidR="000770AC" w:rsidRPr="00874EA4">
        <w:rPr>
          <w:sz w:val="24"/>
          <w:szCs w:val="24"/>
        </w:rPr>
        <w:t xml:space="preserve">7 per cent between March 2008 and December 2010. This is how the market should work, because as unemployment increases, the demand for rental properties would be expected to fall and rents to adjust downwards. However, when the Covid-19 pandemic hit private rents fell by just 3.6 per cent between February and June 2020 and then started to rise again. This occurred despite a sharp increase in real unemployment and growth in remote working. Landlords were justifiably reluctant to cut rents as this would have negative rental income implications in the longer-term </w:t>
      </w:r>
      <w:r w:rsidR="004C2DA1" w:rsidRPr="00874EA4">
        <w:rPr>
          <w:sz w:val="24"/>
          <w:szCs w:val="24"/>
        </w:rPr>
        <w:t xml:space="preserve">in </w:t>
      </w:r>
      <w:r w:rsidR="004F67A4" w:rsidRPr="00874EA4">
        <w:rPr>
          <w:sz w:val="24"/>
          <w:szCs w:val="24"/>
        </w:rPr>
        <w:t>an</w:t>
      </w:r>
      <w:r w:rsidR="000770AC" w:rsidRPr="00874EA4">
        <w:rPr>
          <w:sz w:val="24"/>
          <w:szCs w:val="24"/>
        </w:rPr>
        <w:t xml:space="preserve"> RPZ.</w:t>
      </w:r>
      <w:r w:rsidR="004C2DA1" w:rsidRPr="00874EA4">
        <w:rPr>
          <w:sz w:val="24"/>
          <w:szCs w:val="24"/>
        </w:rPr>
        <w:t xml:space="preserve"> Such flawed interference in the market prevents price adjusting as demand and supply dynamics shift. In effect, there has been a ‘downward nominal rigidity in rents.</w:t>
      </w:r>
      <w:r w:rsidR="00351F26" w:rsidRPr="00874EA4">
        <w:rPr>
          <w:sz w:val="24"/>
          <w:szCs w:val="24"/>
        </w:rPr>
        <w:t>’</w:t>
      </w:r>
      <w:r w:rsidR="004C2DA1" w:rsidRPr="00874EA4">
        <w:rPr>
          <w:sz w:val="24"/>
          <w:szCs w:val="24"/>
        </w:rPr>
        <w:t xml:space="preserve"> RPZs provide an incentive for landlords to maintain empty rental properties rather than cut rents. </w:t>
      </w:r>
    </w:p>
    <w:p w14:paraId="1C3794A3" w14:textId="36C215A1" w:rsidR="00C62589" w:rsidRPr="00874EA4" w:rsidRDefault="00C62589" w:rsidP="007F2366">
      <w:pPr>
        <w:pStyle w:val="ListParagraph"/>
        <w:numPr>
          <w:ilvl w:val="0"/>
          <w:numId w:val="22"/>
        </w:numPr>
        <w:jc w:val="both"/>
        <w:rPr>
          <w:sz w:val="24"/>
          <w:szCs w:val="24"/>
        </w:rPr>
      </w:pPr>
      <w:r w:rsidRPr="00874EA4">
        <w:rPr>
          <w:sz w:val="24"/>
          <w:szCs w:val="24"/>
        </w:rPr>
        <w:t>RPZs do not take into account the level the rent was set at or the indebtedness of the landlord.</w:t>
      </w:r>
    </w:p>
    <w:p w14:paraId="3B77C0E6" w14:textId="049EEF52" w:rsidR="004C2DA1" w:rsidRPr="00874EA4" w:rsidRDefault="004C2DA1" w:rsidP="007F2366">
      <w:pPr>
        <w:pStyle w:val="ListParagraph"/>
        <w:numPr>
          <w:ilvl w:val="0"/>
          <w:numId w:val="22"/>
        </w:numPr>
        <w:jc w:val="both"/>
        <w:rPr>
          <w:sz w:val="24"/>
          <w:szCs w:val="24"/>
        </w:rPr>
      </w:pPr>
      <w:r w:rsidRPr="00874EA4">
        <w:rPr>
          <w:sz w:val="24"/>
          <w:szCs w:val="24"/>
        </w:rPr>
        <w:t>In other jurisdictions where rent controls apply</w:t>
      </w:r>
      <w:r w:rsidR="00351F26" w:rsidRPr="00874EA4">
        <w:rPr>
          <w:sz w:val="24"/>
          <w:szCs w:val="24"/>
        </w:rPr>
        <w:t>,</w:t>
      </w:r>
      <w:r w:rsidRPr="00874EA4">
        <w:rPr>
          <w:sz w:val="24"/>
          <w:szCs w:val="24"/>
        </w:rPr>
        <w:t xml:space="preserve"> they refer to the life of the tenancy as this gives the tenant certainty about rent costs during the life of the tenancy and </w:t>
      </w:r>
      <w:r w:rsidR="00351F26" w:rsidRPr="00874EA4">
        <w:rPr>
          <w:sz w:val="24"/>
          <w:szCs w:val="24"/>
        </w:rPr>
        <w:t>income certainty for landlords. It is a flawed policy to link rent controls across tenancies as this fails to reflect what is happening in the rental market. A tenant in Ireland is legally entitled to a 6-year tenancy</w:t>
      </w:r>
      <w:r w:rsidR="00944523" w:rsidRPr="00874EA4">
        <w:rPr>
          <w:sz w:val="24"/>
          <w:szCs w:val="24"/>
        </w:rPr>
        <w:t xml:space="preserve"> in any event</w:t>
      </w:r>
      <w:r w:rsidR="00351F26" w:rsidRPr="00874EA4">
        <w:rPr>
          <w:sz w:val="24"/>
          <w:szCs w:val="24"/>
        </w:rPr>
        <w:t xml:space="preserve">. </w:t>
      </w:r>
    </w:p>
    <w:p w14:paraId="4DB3612C" w14:textId="45B63A36" w:rsidR="00CB0096" w:rsidRPr="00874EA4" w:rsidRDefault="00351F26" w:rsidP="007F2366">
      <w:pPr>
        <w:pStyle w:val="ListParagraph"/>
        <w:numPr>
          <w:ilvl w:val="0"/>
          <w:numId w:val="22"/>
        </w:numPr>
        <w:jc w:val="both"/>
        <w:rPr>
          <w:sz w:val="24"/>
          <w:szCs w:val="24"/>
        </w:rPr>
      </w:pPr>
      <w:r w:rsidRPr="00874EA4">
        <w:rPr>
          <w:sz w:val="24"/>
          <w:szCs w:val="24"/>
        </w:rPr>
        <w:t xml:space="preserve">Where landlords are subject to rent controls, this takes no account of the costs involved in maintaining rental properties and hence there is a financial inability to maintain properties. Rent controls restrict incomes </w:t>
      </w:r>
      <w:r w:rsidR="00CB0096" w:rsidRPr="00874EA4">
        <w:rPr>
          <w:sz w:val="24"/>
          <w:szCs w:val="24"/>
        </w:rPr>
        <w:t>without restricting costs, so there is no incentive to invest in</w:t>
      </w:r>
      <w:r w:rsidR="00A03B37">
        <w:rPr>
          <w:sz w:val="24"/>
          <w:szCs w:val="24"/>
        </w:rPr>
        <w:t xml:space="preserve"> the</w:t>
      </w:r>
      <w:r w:rsidR="00CB0096" w:rsidRPr="00874EA4">
        <w:rPr>
          <w:sz w:val="24"/>
          <w:szCs w:val="24"/>
        </w:rPr>
        <w:t xml:space="preserve"> upgrade or modernising of rental properties.</w:t>
      </w:r>
    </w:p>
    <w:p w14:paraId="6680D8C5" w14:textId="77777777" w:rsidR="0096514F" w:rsidRPr="00874EA4" w:rsidRDefault="00CB0096" w:rsidP="007F2366">
      <w:pPr>
        <w:pStyle w:val="ListParagraph"/>
        <w:numPr>
          <w:ilvl w:val="0"/>
          <w:numId w:val="22"/>
        </w:numPr>
        <w:jc w:val="both"/>
        <w:rPr>
          <w:sz w:val="24"/>
          <w:szCs w:val="24"/>
        </w:rPr>
      </w:pPr>
      <w:r w:rsidRPr="00874EA4">
        <w:rPr>
          <w:sz w:val="24"/>
          <w:szCs w:val="24"/>
        </w:rPr>
        <w:lastRenderedPageBreak/>
        <w:t>RPZs contain no mechanism to bring low rents up to sustainable levels</w:t>
      </w:r>
      <w:r w:rsidR="00351F26" w:rsidRPr="00874EA4">
        <w:rPr>
          <w:sz w:val="24"/>
          <w:szCs w:val="24"/>
        </w:rPr>
        <w:t xml:space="preserve"> </w:t>
      </w:r>
      <w:r w:rsidRPr="00874EA4">
        <w:rPr>
          <w:sz w:val="24"/>
          <w:szCs w:val="24"/>
        </w:rPr>
        <w:t xml:space="preserve">and so they unfairly penalise landlords who kept their rents low for some particular reason. </w:t>
      </w:r>
    </w:p>
    <w:p w14:paraId="6333F91A" w14:textId="15BF0FB3" w:rsidR="00351F26" w:rsidRPr="00C62589" w:rsidRDefault="0096514F" w:rsidP="007F2366">
      <w:pPr>
        <w:pStyle w:val="ListParagraph"/>
        <w:numPr>
          <w:ilvl w:val="0"/>
          <w:numId w:val="22"/>
        </w:numPr>
        <w:jc w:val="both"/>
        <w:rPr>
          <w:sz w:val="24"/>
          <w:szCs w:val="24"/>
        </w:rPr>
      </w:pPr>
      <w:r w:rsidRPr="00874EA4">
        <w:rPr>
          <w:sz w:val="24"/>
          <w:szCs w:val="24"/>
        </w:rPr>
        <w:t>If new building stock is introduced to the rental market, a different rental level can be achieved when compared with pre-</w:t>
      </w:r>
      <w:r w:rsidR="004F67A4" w:rsidRPr="00874EA4">
        <w:rPr>
          <w:sz w:val="24"/>
          <w:szCs w:val="24"/>
        </w:rPr>
        <w:t>existing</w:t>
      </w:r>
      <w:r w:rsidRPr="00874EA4">
        <w:rPr>
          <w:sz w:val="24"/>
          <w:szCs w:val="24"/>
        </w:rPr>
        <w:t xml:space="preserve"> rental stock that is subject to rent </w:t>
      </w:r>
      <w:r>
        <w:rPr>
          <w:sz w:val="24"/>
          <w:szCs w:val="24"/>
        </w:rPr>
        <w:t xml:space="preserve">controls. </w:t>
      </w:r>
      <w:r w:rsidR="00CB0096" w:rsidRPr="00C62589">
        <w:rPr>
          <w:sz w:val="24"/>
          <w:szCs w:val="24"/>
        </w:rPr>
        <w:t xml:space="preserve">This helps create a 2-tier market, which guarantees market failure and the exit of private landlords from the market. </w:t>
      </w:r>
    </w:p>
    <w:p w14:paraId="14298038" w14:textId="2B79B7E5" w:rsidR="004C2DA1" w:rsidRPr="00C62589" w:rsidRDefault="00075879" w:rsidP="007F2366">
      <w:pPr>
        <w:pStyle w:val="ListParagraph"/>
        <w:numPr>
          <w:ilvl w:val="0"/>
          <w:numId w:val="22"/>
        </w:numPr>
        <w:jc w:val="both"/>
        <w:rPr>
          <w:sz w:val="24"/>
          <w:szCs w:val="24"/>
        </w:rPr>
      </w:pPr>
      <w:r w:rsidRPr="00C62589">
        <w:rPr>
          <w:sz w:val="24"/>
          <w:szCs w:val="24"/>
        </w:rPr>
        <w:t>If properties in a RPZ are being sold to other investors, their capital value is likely to be devalued if an acceptable rental yield is to be possible for a prospective investor. This means that exiting landlords in RPZs are reluctant to sell to other landlords, and so the supply of rental properties is diminished.</w:t>
      </w:r>
    </w:p>
    <w:p w14:paraId="445D278C" w14:textId="77777777" w:rsidR="00C62589" w:rsidRPr="00C62589" w:rsidRDefault="00C62589" w:rsidP="007F2366">
      <w:pPr>
        <w:jc w:val="both"/>
        <w:rPr>
          <w:b/>
          <w:bCs/>
          <w:sz w:val="28"/>
          <w:szCs w:val="28"/>
        </w:rPr>
      </w:pPr>
      <w:r w:rsidRPr="00C62589">
        <w:rPr>
          <w:b/>
          <w:bCs/>
          <w:sz w:val="28"/>
          <w:szCs w:val="28"/>
        </w:rPr>
        <w:t>TAXATION</w:t>
      </w:r>
    </w:p>
    <w:p w14:paraId="1CC97B35" w14:textId="77777777" w:rsidR="0009638E" w:rsidRDefault="0009638E" w:rsidP="007F2366">
      <w:pPr>
        <w:jc w:val="both"/>
        <w:rPr>
          <w:sz w:val="24"/>
          <w:szCs w:val="24"/>
        </w:rPr>
      </w:pPr>
      <w:r>
        <w:rPr>
          <w:sz w:val="24"/>
          <w:szCs w:val="24"/>
        </w:rPr>
        <w:t>The taxation of private landlords is very onerous and as a significant disincentive for participation in the private rental market.</w:t>
      </w:r>
    </w:p>
    <w:p w14:paraId="7446E9B0" w14:textId="39D57AAD" w:rsidR="0009638E" w:rsidRPr="0096514F" w:rsidRDefault="0096514F" w:rsidP="007F2366">
      <w:pPr>
        <w:pStyle w:val="ListParagraph"/>
        <w:numPr>
          <w:ilvl w:val="0"/>
          <w:numId w:val="23"/>
        </w:numPr>
        <w:jc w:val="both"/>
        <w:rPr>
          <w:sz w:val="24"/>
          <w:szCs w:val="24"/>
        </w:rPr>
      </w:pPr>
      <w:r w:rsidRPr="0096514F">
        <w:rPr>
          <w:sz w:val="24"/>
          <w:szCs w:val="24"/>
        </w:rPr>
        <w:t>Up to</w:t>
      </w:r>
      <w:r w:rsidR="0009638E" w:rsidRPr="0096514F">
        <w:rPr>
          <w:sz w:val="24"/>
          <w:szCs w:val="24"/>
        </w:rPr>
        <w:t xml:space="preserve"> 5</w:t>
      </w:r>
      <w:r w:rsidRPr="0096514F">
        <w:rPr>
          <w:sz w:val="24"/>
          <w:szCs w:val="24"/>
        </w:rPr>
        <w:t>2</w:t>
      </w:r>
      <w:r w:rsidR="0009638E" w:rsidRPr="0096514F">
        <w:rPr>
          <w:sz w:val="24"/>
          <w:szCs w:val="24"/>
        </w:rPr>
        <w:t xml:space="preserve"> per cent of the rental income is paid back to the Exchequer in PAYE, PRSI and USC.</w:t>
      </w:r>
    </w:p>
    <w:p w14:paraId="2BD72873" w14:textId="42F00417" w:rsidR="0009638E" w:rsidRPr="0096514F" w:rsidRDefault="0009638E" w:rsidP="007F2366">
      <w:pPr>
        <w:pStyle w:val="ListParagraph"/>
        <w:numPr>
          <w:ilvl w:val="0"/>
          <w:numId w:val="23"/>
        </w:numPr>
        <w:jc w:val="both"/>
        <w:rPr>
          <w:sz w:val="24"/>
          <w:szCs w:val="24"/>
        </w:rPr>
      </w:pPr>
      <w:r w:rsidRPr="0096514F">
        <w:rPr>
          <w:sz w:val="24"/>
          <w:szCs w:val="24"/>
        </w:rPr>
        <w:t>The Local Property Tax (LPT) payment is not a tax</w:t>
      </w:r>
      <w:r w:rsidR="00F0048D" w:rsidRPr="0096514F">
        <w:rPr>
          <w:sz w:val="24"/>
          <w:szCs w:val="24"/>
        </w:rPr>
        <w:t>-</w:t>
      </w:r>
      <w:r w:rsidRPr="0096514F">
        <w:rPr>
          <w:sz w:val="24"/>
          <w:szCs w:val="24"/>
        </w:rPr>
        <w:t>deductible expense</w:t>
      </w:r>
      <w:r w:rsidR="00F0048D" w:rsidRPr="0096514F">
        <w:rPr>
          <w:sz w:val="24"/>
          <w:szCs w:val="24"/>
        </w:rPr>
        <w:t>, despite the fact that it is a legitimate expense involved in supplying a</w:t>
      </w:r>
      <w:r w:rsidR="0096514F" w:rsidRPr="0096514F">
        <w:rPr>
          <w:sz w:val="24"/>
          <w:szCs w:val="24"/>
        </w:rPr>
        <w:t xml:space="preserve"> </w:t>
      </w:r>
      <w:r w:rsidR="00F0048D" w:rsidRPr="0096514F">
        <w:rPr>
          <w:sz w:val="24"/>
          <w:szCs w:val="24"/>
        </w:rPr>
        <w:t>rental property to the market.</w:t>
      </w:r>
    </w:p>
    <w:p w14:paraId="69176BA0" w14:textId="73183D2D" w:rsidR="0009638E" w:rsidRDefault="0009638E" w:rsidP="007F2366">
      <w:pPr>
        <w:pStyle w:val="ListParagraph"/>
        <w:numPr>
          <w:ilvl w:val="0"/>
          <w:numId w:val="23"/>
        </w:numPr>
        <w:jc w:val="both"/>
        <w:rPr>
          <w:sz w:val="24"/>
          <w:szCs w:val="24"/>
        </w:rPr>
      </w:pPr>
      <w:r w:rsidRPr="0096514F">
        <w:rPr>
          <w:sz w:val="24"/>
          <w:szCs w:val="24"/>
        </w:rPr>
        <w:t xml:space="preserve">Rental income is not treated as reckonable income for pension purposes. </w:t>
      </w:r>
    </w:p>
    <w:p w14:paraId="03EFCF6D" w14:textId="3309A824" w:rsidR="001654DD" w:rsidRDefault="001654DD" w:rsidP="007F2366">
      <w:pPr>
        <w:pStyle w:val="ListParagraph"/>
        <w:numPr>
          <w:ilvl w:val="0"/>
          <w:numId w:val="23"/>
        </w:numPr>
        <w:jc w:val="both"/>
        <w:rPr>
          <w:sz w:val="24"/>
          <w:szCs w:val="24"/>
        </w:rPr>
      </w:pPr>
      <w:r>
        <w:rPr>
          <w:sz w:val="24"/>
          <w:szCs w:val="24"/>
        </w:rPr>
        <w:t xml:space="preserve">Landlords are allowed limited deductions for expenses incurred in the operation of their business. For example, the acquisition of knowledge to deal with the increasing burden of complicated regulatory changes is not a tax-allowable expense. Landlords should have the same ability to avail of tax deductions as other trading businesses. </w:t>
      </w:r>
    </w:p>
    <w:p w14:paraId="09E61E81" w14:textId="61FB2C21" w:rsidR="000C245A" w:rsidRPr="0096514F" w:rsidRDefault="000C245A" w:rsidP="007F2366">
      <w:pPr>
        <w:pStyle w:val="ListParagraph"/>
        <w:numPr>
          <w:ilvl w:val="0"/>
          <w:numId w:val="23"/>
        </w:numPr>
        <w:jc w:val="both"/>
        <w:rPr>
          <w:sz w:val="24"/>
          <w:szCs w:val="24"/>
        </w:rPr>
      </w:pPr>
      <w:r>
        <w:rPr>
          <w:sz w:val="24"/>
          <w:szCs w:val="24"/>
        </w:rPr>
        <w:t xml:space="preserve">If furniture is bought for a rental property, tax relief is obtained over a number of years, but there is </w:t>
      </w:r>
      <w:r w:rsidR="00284684">
        <w:rPr>
          <w:sz w:val="24"/>
          <w:szCs w:val="24"/>
        </w:rPr>
        <w:t>no</w:t>
      </w:r>
      <w:r>
        <w:rPr>
          <w:sz w:val="24"/>
          <w:szCs w:val="24"/>
        </w:rPr>
        <w:t xml:space="preserve"> USC relief.</w:t>
      </w:r>
    </w:p>
    <w:p w14:paraId="0304FEAA" w14:textId="730940B0" w:rsidR="0009638E" w:rsidRDefault="0009638E" w:rsidP="007F2366">
      <w:pPr>
        <w:pStyle w:val="ListParagraph"/>
        <w:numPr>
          <w:ilvl w:val="0"/>
          <w:numId w:val="23"/>
        </w:numPr>
        <w:jc w:val="both"/>
        <w:rPr>
          <w:sz w:val="24"/>
          <w:szCs w:val="24"/>
        </w:rPr>
      </w:pPr>
      <w:r w:rsidRPr="0096514F">
        <w:rPr>
          <w:sz w:val="24"/>
          <w:szCs w:val="24"/>
        </w:rPr>
        <w:t xml:space="preserve">Building energy improvements should be allowable as a double expense and offset fully in the year that it is carried out. This would improve energy standards for tenants, but would also be consistent with Ireland’s climate change commitments. </w:t>
      </w:r>
    </w:p>
    <w:p w14:paraId="4503A529" w14:textId="0CD4BEB7" w:rsidR="00396742" w:rsidRDefault="00396742" w:rsidP="007F2366">
      <w:pPr>
        <w:jc w:val="both"/>
        <w:rPr>
          <w:sz w:val="24"/>
          <w:szCs w:val="24"/>
        </w:rPr>
      </w:pPr>
      <w:r>
        <w:rPr>
          <w:sz w:val="24"/>
          <w:szCs w:val="24"/>
        </w:rPr>
        <w:t>In contrast, institutional landlords make significant profits in the Irish market, but pay no tax. The dividends paid to shareholders are subject to tax, but as many investors are non-resident, there is no return to the Exchequer.</w:t>
      </w:r>
    </w:p>
    <w:p w14:paraId="58A52C07" w14:textId="2C217EBA" w:rsidR="00396742" w:rsidRDefault="00396742" w:rsidP="007F2366">
      <w:pPr>
        <w:jc w:val="both"/>
        <w:rPr>
          <w:sz w:val="24"/>
          <w:szCs w:val="24"/>
        </w:rPr>
      </w:pPr>
      <w:r>
        <w:rPr>
          <w:sz w:val="24"/>
          <w:szCs w:val="24"/>
        </w:rPr>
        <w:t xml:space="preserve">Institutional landlords are an important component of the Irish private rental market, but </w:t>
      </w:r>
      <w:r w:rsidR="00A155A7">
        <w:rPr>
          <w:sz w:val="24"/>
          <w:szCs w:val="24"/>
        </w:rPr>
        <w:t xml:space="preserve">private landlords need to be treated equally with the institutional landlords, as they are also a very important element of the overall rental market. Many private landlords are exiting the market and this is exacerbating the housing crisis. </w:t>
      </w:r>
    </w:p>
    <w:p w14:paraId="1C078256" w14:textId="61BAD5E0" w:rsidR="00E904A3" w:rsidRPr="00396742" w:rsidRDefault="00E904A3" w:rsidP="007F2366">
      <w:pPr>
        <w:jc w:val="both"/>
        <w:rPr>
          <w:sz w:val="24"/>
          <w:szCs w:val="24"/>
        </w:rPr>
      </w:pPr>
      <w:r>
        <w:rPr>
          <w:sz w:val="24"/>
          <w:szCs w:val="24"/>
        </w:rPr>
        <w:t xml:space="preserve">Appendix 1 provides a worked example of the difficulties facing a private landlord in current market circumstances. The tax treatment needs to change to make situation sustainable. </w:t>
      </w:r>
    </w:p>
    <w:p w14:paraId="6BA2FBAE" w14:textId="768943B6" w:rsidR="0096514F" w:rsidRPr="0096514F" w:rsidRDefault="0096514F" w:rsidP="007F2366">
      <w:pPr>
        <w:jc w:val="both"/>
        <w:rPr>
          <w:b/>
          <w:bCs/>
          <w:sz w:val="28"/>
          <w:szCs w:val="28"/>
        </w:rPr>
      </w:pPr>
      <w:r w:rsidRPr="0096514F">
        <w:rPr>
          <w:b/>
          <w:bCs/>
          <w:sz w:val="28"/>
          <w:szCs w:val="28"/>
        </w:rPr>
        <w:t>THE LACK OF CONSISTENCY AND CONTINUTY IN THE RENTAL MARKET</w:t>
      </w:r>
    </w:p>
    <w:p w14:paraId="3911398C" w14:textId="177BC7B2" w:rsidR="00107FDB" w:rsidRDefault="0096514F" w:rsidP="007F2366">
      <w:pPr>
        <w:jc w:val="both"/>
        <w:rPr>
          <w:sz w:val="24"/>
          <w:szCs w:val="24"/>
        </w:rPr>
      </w:pPr>
      <w:r>
        <w:rPr>
          <w:sz w:val="24"/>
          <w:szCs w:val="24"/>
        </w:rPr>
        <w:lastRenderedPageBreak/>
        <w:t xml:space="preserve">For private landlords, </w:t>
      </w:r>
      <w:r w:rsidR="00107FDB">
        <w:rPr>
          <w:sz w:val="24"/>
          <w:szCs w:val="24"/>
        </w:rPr>
        <w:t xml:space="preserve">the legislation and regulation relating to the rental market is continually changing. There is no continuity and certainty, and the complex nature of the legislation and the ongoing changes to that legislation act as a major problem of adoption and comprehension for small private landlords. </w:t>
      </w:r>
    </w:p>
    <w:p w14:paraId="78965171" w14:textId="3C681D0F" w:rsidR="00107FDB" w:rsidRDefault="00875F22" w:rsidP="007F2366">
      <w:pPr>
        <w:jc w:val="both"/>
        <w:rPr>
          <w:sz w:val="24"/>
          <w:szCs w:val="24"/>
        </w:rPr>
      </w:pPr>
      <w:r>
        <w:rPr>
          <w:sz w:val="24"/>
          <w:szCs w:val="24"/>
        </w:rPr>
        <w:t>The following shows a chronological picture of the various changes to regulation and legislation that private landlords have had to endure since 2008.</w:t>
      </w:r>
    </w:p>
    <w:p w14:paraId="18A8E2A1" w14:textId="77777777" w:rsidR="00875F22" w:rsidRPr="00875F22" w:rsidRDefault="00107FDB" w:rsidP="007F2366">
      <w:pPr>
        <w:pStyle w:val="PlainText"/>
        <w:ind w:left="1440" w:hanging="1440"/>
        <w:jc w:val="both"/>
        <w:rPr>
          <w:rFonts w:asciiTheme="minorHAnsi" w:hAnsiTheme="minorHAnsi" w:cstheme="minorHAnsi"/>
          <w:b/>
          <w:bCs/>
          <w:sz w:val="24"/>
          <w:szCs w:val="24"/>
        </w:rPr>
      </w:pPr>
      <w:r w:rsidRPr="00875F22">
        <w:rPr>
          <w:rFonts w:asciiTheme="minorHAnsi" w:hAnsiTheme="minorHAnsi" w:cstheme="minorHAnsi"/>
          <w:b/>
          <w:bCs/>
          <w:sz w:val="24"/>
          <w:szCs w:val="24"/>
        </w:rPr>
        <w:t>2008          </w:t>
      </w:r>
    </w:p>
    <w:p w14:paraId="658C8A2B" w14:textId="3BFB5FB0" w:rsidR="00107FDB" w:rsidRPr="00107FDB" w:rsidRDefault="00107FDB" w:rsidP="007F2366">
      <w:pPr>
        <w:pStyle w:val="PlainText"/>
        <w:numPr>
          <w:ilvl w:val="0"/>
          <w:numId w:val="24"/>
        </w:numPr>
        <w:jc w:val="both"/>
        <w:rPr>
          <w:rFonts w:asciiTheme="minorHAnsi" w:hAnsiTheme="minorHAnsi" w:cstheme="minorHAnsi"/>
          <w:sz w:val="24"/>
          <w:szCs w:val="24"/>
        </w:rPr>
      </w:pPr>
      <w:r w:rsidRPr="00107FDB">
        <w:rPr>
          <w:rFonts w:asciiTheme="minorHAnsi" w:hAnsiTheme="minorHAnsi" w:cstheme="minorHAnsi"/>
          <w:sz w:val="24"/>
          <w:szCs w:val="24"/>
        </w:rPr>
        <w:t>Housing (Standards for Rented Houses) Regulations, 2008 S.I. No 534 of 2008</w:t>
      </w:r>
      <w:r w:rsidR="00875F22">
        <w:rPr>
          <w:rFonts w:asciiTheme="minorHAnsi" w:hAnsiTheme="minorHAnsi" w:cstheme="minorHAnsi"/>
          <w:sz w:val="24"/>
          <w:szCs w:val="24"/>
        </w:rPr>
        <w:t>.</w:t>
      </w:r>
    </w:p>
    <w:p w14:paraId="5B9D7D91" w14:textId="77777777" w:rsidR="00107FDB" w:rsidRPr="00107FDB" w:rsidRDefault="00107FDB" w:rsidP="007F2366">
      <w:pPr>
        <w:pStyle w:val="PlainText"/>
        <w:numPr>
          <w:ilvl w:val="0"/>
          <w:numId w:val="24"/>
        </w:numPr>
        <w:jc w:val="both"/>
        <w:rPr>
          <w:rFonts w:asciiTheme="minorHAnsi" w:hAnsiTheme="minorHAnsi" w:cstheme="minorHAnsi"/>
          <w:sz w:val="24"/>
          <w:szCs w:val="24"/>
        </w:rPr>
      </w:pPr>
      <w:r w:rsidRPr="00107FDB">
        <w:rPr>
          <w:rFonts w:asciiTheme="minorHAnsi" w:hAnsiTheme="minorHAnsi" w:cstheme="minorHAnsi"/>
          <w:sz w:val="24"/>
          <w:szCs w:val="24"/>
        </w:rPr>
        <w:t xml:space="preserve">Increased Standards included requirements for white goods, </w:t>
      </w:r>
      <w:r w:rsidRPr="00875F22">
        <w:rPr>
          <w:rFonts w:asciiTheme="minorHAnsi" w:hAnsiTheme="minorHAnsi" w:cstheme="minorHAnsi"/>
          <w:sz w:val="24"/>
          <w:szCs w:val="24"/>
        </w:rPr>
        <w:t>forced closure</w:t>
      </w:r>
      <w:r w:rsidRPr="00107FDB">
        <w:rPr>
          <w:rFonts w:asciiTheme="minorHAnsi" w:hAnsiTheme="minorHAnsi" w:cstheme="minorHAnsi"/>
          <w:b/>
          <w:bCs/>
          <w:sz w:val="24"/>
          <w:szCs w:val="24"/>
        </w:rPr>
        <w:t xml:space="preserve"> </w:t>
      </w:r>
      <w:r w:rsidRPr="00875F22">
        <w:rPr>
          <w:rFonts w:asciiTheme="minorHAnsi" w:hAnsiTheme="minorHAnsi" w:cstheme="minorHAnsi"/>
          <w:sz w:val="24"/>
          <w:szCs w:val="24"/>
        </w:rPr>
        <w:t>of bedsits</w:t>
      </w:r>
      <w:r w:rsidRPr="00107FDB">
        <w:rPr>
          <w:rFonts w:asciiTheme="minorHAnsi" w:hAnsiTheme="minorHAnsi" w:cstheme="minorHAnsi"/>
          <w:sz w:val="24"/>
          <w:szCs w:val="24"/>
        </w:rPr>
        <w:t xml:space="preserve"> without integrated bathrooms.</w:t>
      </w:r>
    </w:p>
    <w:p w14:paraId="43E71DBC" w14:textId="77777777" w:rsidR="00107FDB" w:rsidRPr="00107FDB" w:rsidRDefault="00107FDB" w:rsidP="007F2366">
      <w:pPr>
        <w:pStyle w:val="PlainText"/>
        <w:jc w:val="both"/>
        <w:rPr>
          <w:rFonts w:asciiTheme="minorHAnsi" w:hAnsiTheme="minorHAnsi" w:cstheme="minorHAnsi"/>
          <w:sz w:val="24"/>
          <w:szCs w:val="24"/>
        </w:rPr>
      </w:pPr>
    </w:p>
    <w:p w14:paraId="7C61EC6C" w14:textId="77777777" w:rsidR="00875F22" w:rsidRPr="00875F22" w:rsidRDefault="00107FDB" w:rsidP="007F2366">
      <w:pPr>
        <w:pStyle w:val="PlainText"/>
        <w:jc w:val="both"/>
        <w:rPr>
          <w:rFonts w:asciiTheme="minorHAnsi" w:hAnsiTheme="minorHAnsi" w:cstheme="minorHAnsi"/>
          <w:b/>
          <w:bCs/>
          <w:sz w:val="24"/>
          <w:szCs w:val="24"/>
        </w:rPr>
      </w:pPr>
      <w:r w:rsidRPr="00875F22">
        <w:rPr>
          <w:rFonts w:asciiTheme="minorHAnsi" w:hAnsiTheme="minorHAnsi" w:cstheme="minorHAnsi"/>
          <w:b/>
          <w:bCs/>
          <w:sz w:val="24"/>
          <w:szCs w:val="24"/>
        </w:rPr>
        <w:t>2009             </w:t>
      </w:r>
    </w:p>
    <w:p w14:paraId="146C8B05" w14:textId="3592A759" w:rsidR="00107FDB" w:rsidRPr="00107FDB" w:rsidRDefault="00107FDB" w:rsidP="007F2366">
      <w:pPr>
        <w:pStyle w:val="PlainText"/>
        <w:numPr>
          <w:ilvl w:val="0"/>
          <w:numId w:val="25"/>
        </w:numPr>
        <w:jc w:val="both"/>
        <w:rPr>
          <w:rFonts w:asciiTheme="minorHAnsi" w:hAnsiTheme="minorHAnsi" w:cstheme="minorHAnsi"/>
          <w:sz w:val="24"/>
          <w:szCs w:val="24"/>
        </w:rPr>
      </w:pPr>
      <w:r w:rsidRPr="00107FDB">
        <w:rPr>
          <w:rFonts w:asciiTheme="minorHAnsi" w:hAnsiTheme="minorHAnsi" w:cstheme="minorHAnsi"/>
          <w:sz w:val="24"/>
          <w:szCs w:val="24"/>
        </w:rPr>
        <w:t>Building Energy Rating Certificate Required</w:t>
      </w:r>
      <w:r w:rsidR="00875F22">
        <w:rPr>
          <w:rFonts w:asciiTheme="minorHAnsi" w:hAnsiTheme="minorHAnsi" w:cstheme="minorHAnsi"/>
          <w:sz w:val="24"/>
          <w:szCs w:val="24"/>
        </w:rPr>
        <w:t>.</w:t>
      </w:r>
      <w:r w:rsidRPr="00107FDB">
        <w:rPr>
          <w:rFonts w:asciiTheme="minorHAnsi" w:hAnsiTheme="minorHAnsi" w:cstheme="minorHAnsi"/>
          <w:sz w:val="24"/>
          <w:szCs w:val="24"/>
        </w:rPr>
        <w:t xml:space="preserve"> </w:t>
      </w:r>
    </w:p>
    <w:p w14:paraId="231DEA80" w14:textId="7C235A62" w:rsidR="00107FDB" w:rsidRPr="00107FDB" w:rsidRDefault="00107FDB" w:rsidP="007F2366">
      <w:pPr>
        <w:pStyle w:val="PlainText"/>
        <w:numPr>
          <w:ilvl w:val="0"/>
          <w:numId w:val="25"/>
        </w:numPr>
        <w:jc w:val="both"/>
        <w:rPr>
          <w:rFonts w:asciiTheme="minorHAnsi" w:hAnsiTheme="minorHAnsi" w:cstheme="minorHAnsi"/>
          <w:sz w:val="24"/>
          <w:szCs w:val="24"/>
        </w:rPr>
      </w:pPr>
      <w:r w:rsidRPr="00107FDB">
        <w:rPr>
          <w:rFonts w:asciiTheme="minorHAnsi" w:hAnsiTheme="minorHAnsi" w:cstheme="minorHAnsi"/>
          <w:sz w:val="24"/>
          <w:szCs w:val="24"/>
        </w:rPr>
        <w:t>Mortgage Interest deduction limited to 75</w:t>
      </w:r>
      <w:r w:rsidR="00875F22">
        <w:rPr>
          <w:rFonts w:asciiTheme="minorHAnsi" w:hAnsiTheme="minorHAnsi" w:cstheme="minorHAnsi"/>
          <w:sz w:val="24"/>
          <w:szCs w:val="24"/>
        </w:rPr>
        <w:t xml:space="preserve"> per cent (this was later changed to 100 per cent).</w:t>
      </w:r>
    </w:p>
    <w:p w14:paraId="4DBA065E" w14:textId="562AD4F3" w:rsidR="00107FDB" w:rsidRPr="00107FDB" w:rsidRDefault="00107FDB" w:rsidP="007F2366">
      <w:pPr>
        <w:pStyle w:val="PlainText"/>
        <w:numPr>
          <w:ilvl w:val="0"/>
          <w:numId w:val="25"/>
        </w:numPr>
        <w:jc w:val="both"/>
        <w:rPr>
          <w:rFonts w:asciiTheme="minorHAnsi" w:hAnsiTheme="minorHAnsi" w:cstheme="minorHAnsi"/>
          <w:sz w:val="24"/>
          <w:szCs w:val="24"/>
        </w:rPr>
      </w:pPr>
      <w:r w:rsidRPr="00107FDB">
        <w:rPr>
          <w:rFonts w:asciiTheme="minorHAnsi" w:hAnsiTheme="minorHAnsi" w:cstheme="minorHAnsi"/>
          <w:sz w:val="24"/>
          <w:szCs w:val="24"/>
        </w:rPr>
        <w:t>Local Government Charges Act 2009</w:t>
      </w:r>
      <w:r w:rsidR="00875F22">
        <w:rPr>
          <w:rFonts w:asciiTheme="minorHAnsi" w:hAnsiTheme="minorHAnsi" w:cstheme="minorHAnsi"/>
          <w:sz w:val="24"/>
          <w:szCs w:val="24"/>
        </w:rPr>
        <w:t>.</w:t>
      </w:r>
      <w:r w:rsidRPr="00107FDB">
        <w:rPr>
          <w:rFonts w:asciiTheme="minorHAnsi" w:hAnsiTheme="minorHAnsi" w:cstheme="minorHAnsi"/>
          <w:sz w:val="24"/>
          <w:szCs w:val="24"/>
        </w:rPr>
        <w:t xml:space="preserve"> </w:t>
      </w:r>
    </w:p>
    <w:p w14:paraId="1015600F" w14:textId="44386364" w:rsidR="00875F22" w:rsidRDefault="00107FDB" w:rsidP="007F2366">
      <w:pPr>
        <w:pStyle w:val="PlainText"/>
        <w:numPr>
          <w:ilvl w:val="0"/>
          <w:numId w:val="25"/>
        </w:numPr>
        <w:jc w:val="both"/>
        <w:rPr>
          <w:rFonts w:asciiTheme="minorHAnsi" w:hAnsiTheme="minorHAnsi" w:cstheme="minorHAnsi"/>
          <w:sz w:val="24"/>
          <w:szCs w:val="24"/>
        </w:rPr>
      </w:pPr>
      <w:r w:rsidRPr="00107FDB">
        <w:rPr>
          <w:rFonts w:asciiTheme="minorHAnsi" w:hAnsiTheme="minorHAnsi" w:cstheme="minorHAnsi"/>
          <w:sz w:val="24"/>
          <w:szCs w:val="24"/>
        </w:rPr>
        <w:t>NPPR annual charge €200 per unit unreasonable penalties up to €7,230 per unit</w:t>
      </w:r>
      <w:r w:rsidR="00875F22">
        <w:rPr>
          <w:rFonts w:asciiTheme="minorHAnsi" w:hAnsiTheme="minorHAnsi" w:cstheme="minorHAnsi"/>
          <w:sz w:val="24"/>
          <w:szCs w:val="24"/>
        </w:rPr>
        <w:t>.</w:t>
      </w:r>
    </w:p>
    <w:p w14:paraId="4BDDF9FA" w14:textId="2CDA1DFF" w:rsidR="00107FDB" w:rsidRPr="00107FDB" w:rsidRDefault="00107FDB" w:rsidP="007F2366">
      <w:pPr>
        <w:pStyle w:val="PlainText"/>
        <w:numPr>
          <w:ilvl w:val="0"/>
          <w:numId w:val="25"/>
        </w:numPr>
        <w:jc w:val="both"/>
        <w:rPr>
          <w:rFonts w:asciiTheme="minorHAnsi" w:hAnsiTheme="minorHAnsi" w:cstheme="minorHAnsi"/>
          <w:sz w:val="24"/>
          <w:szCs w:val="24"/>
        </w:rPr>
      </w:pPr>
      <w:r w:rsidRPr="00107FDB">
        <w:rPr>
          <w:rFonts w:asciiTheme="minorHAnsi" w:hAnsiTheme="minorHAnsi" w:cstheme="minorHAnsi"/>
          <w:sz w:val="24"/>
          <w:szCs w:val="24"/>
        </w:rPr>
        <w:t xml:space="preserve">Rent Supplement </w:t>
      </w:r>
      <w:r w:rsidR="00875F22">
        <w:rPr>
          <w:rFonts w:asciiTheme="minorHAnsi" w:hAnsiTheme="minorHAnsi" w:cstheme="minorHAnsi"/>
          <w:sz w:val="24"/>
          <w:szCs w:val="24"/>
        </w:rPr>
        <w:t>r</w:t>
      </w:r>
      <w:r w:rsidRPr="00107FDB">
        <w:rPr>
          <w:rFonts w:asciiTheme="minorHAnsi" w:hAnsiTheme="minorHAnsi" w:cstheme="minorHAnsi"/>
          <w:sz w:val="24"/>
          <w:szCs w:val="24"/>
        </w:rPr>
        <w:t>educed</w:t>
      </w:r>
      <w:r w:rsidR="00875F22">
        <w:rPr>
          <w:rFonts w:asciiTheme="minorHAnsi" w:hAnsiTheme="minorHAnsi" w:cstheme="minorHAnsi"/>
          <w:sz w:val="24"/>
          <w:szCs w:val="24"/>
        </w:rPr>
        <w:t>.</w:t>
      </w:r>
      <w:r w:rsidRPr="00107FDB">
        <w:rPr>
          <w:rFonts w:asciiTheme="minorHAnsi" w:hAnsiTheme="minorHAnsi" w:cstheme="minorHAnsi"/>
          <w:sz w:val="24"/>
          <w:szCs w:val="24"/>
        </w:rPr>
        <w:t xml:space="preserve"> </w:t>
      </w:r>
    </w:p>
    <w:p w14:paraId="1DCBCC8E" w14:textId="46BD7B81" w:rsidR="00107FDB" w:rsidRPr="00107FDB" w:rsidRDefault="00107FDB" w:rsidP="007F2366">
      <w:pPr>
        <w:pStyle w:val="PlainText"/>
        <w:numPr>
          <w:ilvl w:val="0"/>
          <w:numId w:val="25"/>
        </w:numPr>
        <w:jc w:val="both"/>
        <w:rPr>
          <w:rFonts w:asciiTheme="minorHAnsi" w:hAnsiTheme="minorHAnsi" w:cstheme="minorHAnsi"/>
          <w:sz w:val="24"/>
          <w:szCs w:val="24"/>
        </w:rPr>
      </w:pPr>
      <w:r w:rsidRPr="00107FDB">
        <w:rPr>
          <w:rFonts w:asciiTheme="minorHAnsi" w:hAnsiTheme="minorHAnsi" w:cstheme="minorHAnsi"/>
          <w:sz w:val="24"/>
          <w:szCs w:val="24"/>
        </w:rPr>
        <w:t>CGT increased from 20</w:t>
      </w:r>
      <w:r w:rsidR="00875F22">
        <w:rPr>
          <w:rFonts w:asciiTheme="minorHAnsi" w:hAnsiTheme="minorHAnsi" w:cstheme="minorHAnsi"/>
          <w:sz w:val="24"/>
          <w:szCs w:val="24"/>
        </w:rPr>
        <w:t xml:space="preserve"> per cent</w:t>
      </w:r>
      <w:r w:rsidRPr="00107FDB">
        <w:rPr>
          <w:rFonts w:asciiTheme="minorHAnsi" w:hAnsiTheme="minorHAnsi" w:cstheme="minorHAnsi"/>
          <w:sz w:val="24"/>
          <w:szCs w:val="24"/>
        </w:rPr>
        <w:t xml:space="preserve"> to 33</w:t>
      </w:r>
      <w:r w:rsidR="00875F22">
        <w:rPr>
          <w:rFonts w:asciiTheme="minorHAnsi" w:hAnsiTheme="minorHAnsi" w:cstheme="minorHAnsi"/>
          <w:sz w:val="24"/>
          <w:szCs w:val="24"/>
        </w:rPr>
        <w:t xml:space="preserve"> per cent</w:t>
      </w:r>
      <w:r w:rsidRPr="00107FDB">
        <w:rPr>
          <w:rFonts w:asciiTheme="minorHAnsi" w:hAnsiTheme="minorHAnsi" w:cstheme="minorHAnsi"/>
          <w:sz w:val="24"/>
          <w:szCs w:val="24"/>
        </w:rPr>
        <w:t xml:space="preserve"> (64</w:t>
      </w:r>
      <w:r w:rsidR="00875F22">
        <w:rPr>
          <w:rFonts w:asciiTheme="minorHAnsi" w:hAnsiTheme="minorHAnsi" w:cstheme="minorHAnsi"/>
          <w:sz w:val="24"/>
          <w:szCs w:val="24"/>
        </w:rPr>
        <w:t xml:space="preserve"> per cent</w:t>
      </w:r>
      <w:r w:rsidRPr="00107FDB">
        <w:rPr>
          <w:rFonts w:asciiTheme="minorHAnsi" w:hAnsiTheme="minorHAnsi" w:cstheme="minorHAnsi"/>
          <w:sz w:val="24"/>
          <w:szCs w:val="24"/>
        </w:rPr>
        <w:t xml:space="preserve"> increase)</w:t>
      </w:r>
      <w:r w:rsidR="00875F22">
        <w:rPr>
          <w:rFonts w:asciiTheme="minorHAnsi" w:hAnsiTheme="minorHAnsi" w:cstheme="minorHAnsi"/>
          <w:sz w:val="24"/>
          <w:szCs w:val="24"/>
        </w:rPr>
        <w:t>.</w:t>
      </w:r>
    </w:p>
    <w:p w14:paraId="2E732A2B" w14:textId="77777777" w:rsidR="00107FDB" w:rsidRPr="00107FDB" w:rsidRDefault="00107FDB" w:rsidP="007F2366">
      <w:pPr>
        <w:pStyle w:val="PlainText"/>
        <w:jc w:val="both"/>
        <w:rPr>
          <w:rFonts w:asciiTheme="minorHAnsi" w:hAnsiTheme="minorHAnsi" w:cstheme="minorHAnsi"/>
          <w:sz w:val="24"/>
          <w:szCs w:val="24"/>
        </w:rPr>
      </w:pPr>
    </w:p>
    <w:p w14:paraId="7101AB65" w14:textId="77777777" w:rsidR="00875F22" w:rsidRPr="00875F22" w:rsidRDefault="00107FDB" w:rsidP="007F2366">
      <w:pPr>
        <w:pStyle w:val="PlainText"/>
        <w:jc w:val="both"/>
        <w:rPr>
          <w:rFonts w:asciiTheme="minorHAnsi" w:hAnsiTheme="minorHAnsi" w:cstheme="minorHAnsi"/>
          <w:b/>
          <w:bCs/>
          <w:sz w:val="24"/>
          <w:szCs w:val="24"/>
        </w:rPr>
      </w:pPr>
      <w:r w:rsidRPr="00875F22">
        <w:rPr>
          <w:rFonts w:asciiTheme="minorHAnsi" w:hAnsiTheme="minorHAnsi" w:cstheme="minorHAnsi"/>
          <w:b/>
          <w:bCs/>
          <w:sz w:val="24"/>
          <w:szCs w:val="24"/>
        </w:rPr>
        <w:t xml:space="preserve">2010               </w:t>
      </w:r>
    </w:p>
    <w:p w14:paraId="13259182" w14:textId="1ECA21E3" w:rsidR="00107FDB" w:rsidRPr="00107FDB" w:rsidRDefault="00107FDB" w:rsidP="007F2366">
      <w:pPr>
        <w:pStyle w:val="PlainText"/>
        <w:numPr>
          <w:ilvl w:val="0"/>
          <w:numId w:val="26"/>
        </w:numPr>
        <w:jc w:val="both"/>
        <w:rPr>
          <w:rFonts w:asciiTheme="minorHAnsi" w:hAnsiTheme="minorHAnsi" w:cstheme="minorHAnsi"/>
          <w:sz w:val="24"/>
          <w:szCs w:val="24"/>
        </w:rPr>
      </w:pPr>
      <w:r w:rsidRPr="00107FDB">
        <w:rPr>
          <w:rFonts w:asciiTheme="minorHAnsi" w:hAnsiTheme="minorHAnsi" w:cstheme="minorHAnsi"/>
          <w:sz w:val="24"/>
          <w:szCs w:val="24"/>
        </w:rPr>
        <w:t>Rent supplement Reduced</w:t>
      </w:r>
      <w:r w:rsidR="00837FD1">
        <w:rPr>
          <w:rFonts w:asciiTheme="minorHAnsi" w:hAnsiTheme="minorHAnsi" w:cstheme="minorHAnsi"/>
          <w:sz w:val="24"/>
          <w:szCs w:val="24"/>
        </w:rPr>
        <w:t>.</w:t>
      </w:r>
      <w:r w:rsidRPr="00107FDB">
        <w:rPr>
          <w:rFonts w:asciiTheme="minorHAnsi" w:hAnsiTheme="minorHAnsi" w:cstheme="minorHAnsi"/>
          <w:sz w:val="24"/>
          <w:szCs w:val="24"/>
        </w:rPr>
        <w:t xml:space="preserve"> </w:t>
      </w:r>
    </w:p>
    <w:p w14:paraId="234BF28F" w14:textId="4B82D65C" w:rsidR="00107FDB" w:rsidRPr="00107FDB" w:rsidRDefault="00107FDB" w:rsidP="007F2366">
      <w:pPr>
        <w:pStyle w:val="PlainText"/>
        <w:numPr>
          <w:ilvl w:val="0"/>
          <w:numId w:val="26"/>
        </w:numPr>
        <w:jc w:val="both"/>
        <w:rPr>
          <w:rFonts w:asciiTheme="minorHAnsi" w:hAnsiTheme="minorHAnsi" w:cstheme="minorHAnsi"/>
          <w:sz w:val="24"/>
          <w:szCs w:val="24"/>
        </w:rPr>
      </w:pPr>
      <w:r w:rsidRPr="00107FDB">
        <w:rPr>
          <w:rFonts w:asciiTheme="minorHAnsi" w:hAnsiTheme="minorHAnsi" w:cstheme="minorHAnsi"/>
          <w:sz w:val="24"/>
          <w:szCs w:val="24"/>
        </w:rPr>
        <w:t>Increase in RTB Registration Fees from €70 to €90</w:t>
      </w:r>
      <w:r w:rsidR="00837FD1">
        <w:rPr>
          <w:rFonts w:asciiTheme="minorHAnsi" w:hAnsiTheme="minorHAnsi" w:cstheme="minorHAnsi"/>
          <w:sz w:val="24"/>
          <w:szCs w:val="24"/>
        </w:rPr>
        <w:t>.</w:t>
      </w:r>
      <w:r w:rsidRPr="00107FDB">
        <w:rPr>
          <w:rFonts w:asciiTheme="minorHAnsi" w:hAnsiTheme="minorHAnsi" w:cstheme="minorHAnsi"/>
          <w:sz w:val="24"/>
          <w:szCs w:val="24"/>
        </w:rPr>
        <w:t xml:space="preserve"> </w:t>
      </w:r>
    </w:p>
    <w:p w14:paraId="33A5129F" w14:textId="77777777" w:rsidR="00107FDB" w:rsidRPr="00107FDB" w:rsidRDefault="00107FDB" w:rsidP="007F2366">
      <w:pPr>
        <w:pStyle w:val="PlainText"/>
        <w:jc w:val="both"/>
        <w:rPr>
          <w:rFonts w:asciiTheme="minorHAnsi" w:hAnsiTheme="minorHAnsi" w:cstheme="minorHAnsi"/>
          <w:sz w:val="24"/>
          <w:szCs w:val="24"/>
        </w:rPr>
      </w:pPr>
    </w:p>
    <w:p w14:paraId="496322BC" w14:textId="77777777" w:rsidR="00875F22" w:rsidRPr="00113ABD" w:rsidRDefault="00107FDB" w:rsidP="007F2366">
      <w:pPr>
        <w:pStyle w:val="PlainText"/>
        <w:ind w:left="1440" w:hanging="1440"/>
        <w:jc w:val="both"/>
        <w:rPr>
          <w:rFonts w:asciiTheme="minorHAnsi" w:hAnsiTheme="minorHAnsi" w:cstheme="minorHAnsi"/>
          <w:b/>
          <w:bCs/>
          <w:sz w:val="24"/>
          <w:szCs w:val="24"/>
        </w:rPr>
      </w:pPr>
      <w:r w:rsidRPr="00113ABD">
        <w:rPr>
          <w:rFonts w:asciiTheme="minorHAnsi" w:hAnsiTheme="minorHAnsi" w:cstheme="minorHAnsi"/>
          <w:b/>
          <w:bCs/>
          <w:sz w:val="24"/>
          <w:szCs w:val="24"/>
        </w:rPr>
        <w:t>2011       </w:t>
      </w:r>
    </w:p>
    <w:p w14:paraId="5EC819DA" w14:textId="6E78E0D1" w:rsidR="00107FDB" w:rsidRPr="00107FDB" w:rsidRDefault="00107FDB" w:rsidP="007F2366">
      <w:pPr>
        <w:pStyle w:val="PlainText"/>
        <w:numPr>
          <w:ilvl w:val="0"/>
          <w:numId w:val="27"/>
        </w:numPr>
        <w:jc w:val="both"/>
        <w:rPr>
          <w:rFonts w:asciiTheme="minorHAnsi" w:hAnsiTheme="minorHAnsi" w:cstheme="minorHAnsi"/>
          <w:sz w:val="24"/>
          <w:szCs w:val="24"/>
        </w:rPr>
      </w:pPr>
      <w:r w:rsidRPr="00107FDB">
        <w:rPr>
          <w:rFonts w:asciiTheme="minorHAnsi" w:hAnsiTheme="minorHAnsi" w:cstheme="minorHAnsi"/>
          <w:sz w:val="24"/>
          <w:szCs w:val="24"/>
        </w:rPr>
        <w:t>Universal Service Charge introduced increasing tax rate by up to 11</w:t>
      </w:r>
      <w:r w:rsidR="00113ABD">
        <w:rPr>
          <w:rFonts w:asciiTheme="minorHAnsi" w:hAnsiTheme="minorHAnsi" w:cstheme="minorHAnsi"/>
          <w:sz w:val="24"/>
          <w:szCs w:val="24"/>
        </w:rPr>
        <w:t xml:space="preserve"> per cent.</w:t>
      </w:r>
    </w:p>
    <w:p w14:paraId="3D94B3F6" w14:textId="77777777" w:rsidR="00107FDB" w:rsidRPr="00107FDB" w:rsidRDefault="00107FDB" w:rsidP="007F2366">
      <w:pPr>
        <w:pStyle w:val="PlainText"/>
        <w:jc w:val="both"/>
        <w:rPr>
          <w:rFonts w:asciiTheme="minorHAnsi" w:hAnsiTheme="minorHAnsi" w:cstheme="minorHAnsi"/>
          <w:sz w:val="24"/>
          <w:szCs w:val="24"/>
        </w:rPr>
      </w:pPr>
      <w:r w:rsidRPr="00107FDB">
        <w:rPr>
          <w:rFonts w:asciiTheme="minorHAnsi" w:hAnsiTheme="minorHAnsi" w:cstheme="minorHAnsi"/>
          <w:sz w:val="24"/>
          <w:szCs w:val="24"/>
        </w:rPr>
        <w:t> </w:t>
      </w:r>
    </w:p>
    <w:p w14:paraId="169F0DF0" w14:textId="77777777" w:rsidR="00837FD1" w:rsidRPr="00837FD1" w:rsidRDefault="00107FDB" w:rsidP="007F2366">
      <w:pPr>
        <w:pStyle w:val="PlainText"/>
        <w:ind w:left="1440" w:hanging="1440"/>
        <w:jc w:val="both"/>
        <w:rPr>
          <w:rFonts w:asciiTheme="minorHAnsi" w:hAnsiTheme="minorHAnsi" w:cstheme="minorHAnsi"/>
          <w:b/>
          <w:bCs/>
          <w:sz w:val="24"/>
          <w:szCs w:val="24"/>
        </w:rPr>
      </w:pPr>
      <w:r w:rsidRPr="00837FD1">
        <w:rPr>
          <w:rFonts w:asciiTheme="minorHAnsi" w:hAnsiTheme="minorHAnsi" w:cstheme="minorHAnsi"/>
          <w:b/>
          <w:bCs/>
          <w:sz w:val="24"/>
          <w:szCs w:val="24"/>
        </w:rPr>
        <w:t>2012             </w:t>
      </w:r>
    </w:p>
    <w:p w14:paraId="0CC8B033" w14:textId="06796635" w:rsidR="00107FDB" w:rsidRPr="00107FDB" w:rsidRDefault="00107FDB" w:rsidP="007F2366">
      <w:pPr>
        <w:pStyle w:val="PlainText"/>
        <w:numPr>
          <w:ilvl w:val="0"/>
          <w:numId w:val="27"/>
        </w:numPr>
        <w:jc w:val="both"/>
        <w:rPr>
          <w:rFonts w:asciiTheme="minorHAnsi" w:hAnsiTheme="minorHAnsi" w:cstheme="minorHAnsi"/>
          <w:sz w:val="24"/>
          <w:szCs w:val="24"/>
        </w:rPr>
      </w:pPr>
      <w:r w:rsidRPr="00107FDB">
        <w:rPr>
          <w:rFonts w:asciiTheme="minorHAnsi" w:hAnsiTheme="minorHAnsi" w:cstheme="minorHAnsi"/>
          <w:sz w:val="24"/>
          <w:szCs w:val="24"/>
        </w:rPr>
        <w:t>Introduction of additional surcharge of up to 5</w:t>
      </w:r>
      <w:r w:rsidR="00837FD1">
        <w:rPr>
          <w:rFonts w:asciiTheme="minorHAnsi" w:hAnsiTheme="minorHAnsi" w:cstheme="minorHAnsi"/>
          <w:sz w:val="24"/>
          <w:szCs w:val="24"/>
        </w:rPr>
        <w:t xml:space="preserve"> per cent</w:t>
      </w:r>
      <w:r w:rsidRPr="00107FDB">
        <w:rPr>
          <w:rFonts w:asciiTheme="minorHAnsi" w:hAnsiTheme="minorHAnsi" w:cstheme="minorHAnsi"/>
          <w:sz w:val="24"/>
          <w:szCs w:val="24"/>
        </w:rPr>
        <w:t xml:space="preserve"> on Property Based Legacy Tax</w:t>
      </w:r>
      <w:r w:rsidR="00B46167">
        <w:rPr>
          <w:rFonts w:asciiTheme="minorHAnsi" w:hAnsiTheme="minorHAnsi" w:cstheme="minorHAnsi"/>
          <w:sz w:val="24"/>
          <w:szCs w:val="24"/>
        </w:rPr>
        <w:t xml:space="preserve"> </w:t>
      </w:r>
      <w:r w:rsidRPr="00107FDB">
        <w:rPr>
          <w:rFonts w:asciiTheme="minorHAnsi" w:hAnsiTheme="minorHAnsi" w:cstheme="minorHAnsi"/>
          <w:sz w:val="24"/>
          <w:szCs w:val="24"/>
        </w:rPr>
        <w:t>reliefs</w:t>
      </w:r>
      <w:r w:rsidR="00837FD1">
        <w:rPr>
          <w:rFonts w:asciiTheme="minorHAnsi" w:hAnsiTheme="minorHAnsi" w:cstheme="minorHAnsi"/>
          <w:sz w:val="24"/>
          <w:szCs w:val="24"/>
        </w:rPr>
        <w:t>.</w:t>
      </w:r>
      <w:r w:rsidRPr="00107FDB">
        <w:rPr>
          <w:rFonts w:asciiTheme="minorHAnsi" w:hAnsiTheme="minorHAnsi" w:cstheme="minorHAnsi"/>
          <w:sz w:val="24"/>
          <w:szCs w:val="24"/>
        </w:rPr>
        <w:t xml:space="preserve"> </w:t>
      </w:r>
    </w:p>
    <w:p w14:paraId="01D5FD9D" w14:textId="5BBA93C8" w:rsidR="00837FD1" w:rsidRDefault="00107FDB" w:rsidP="007F2366">
      <w:pPr>
        <w:pStyle w:val="PlainText"/>
        <w:numPr>
          <w:ilvl w:val="0"/>
          <w:numId w:val="27"/>
        </w:numPr>
        <w:jc w:val="both"/>
        <w:rPr>
          <w:rFonts w:asciiTheme="minorHAnsi" w:hAnsiTheme="minorHAnsi" w:cstheme="minorHAnsi"/>
          <w:sz w:val="24"/>
          <w:szCs w:val="24"/>
        </w:rPr>
      </w:pPr>
      <w:r w:rsidRPr="00107FDB">
        <w:rPr>
          <w:rFonts w:asciiTheme="minorHAnsi" w:hAnsiTheme="minorHAnsi" w:cstheme="minorHAnsi"/>
          <w:sz w:val="24"/>
          <w:szCs w:val="24"/>
        </w:rPr>
        <w:t>Local Government (Household Charge) Act 2011 (Not allowable as an expense) NPPR with extortionate penalties</w:t>
      </w:r>
      <w:r w:rsidR="00B46167">
        <w:rPr>
          <w:rFonts w:asciiTheme="minorHAnsi" w:hAnsiTheme="minorHAnsi" w:cstheme="minorHAnsi"/>
          <w:sz w:val="24"/>
          <w:szCs w:val="24"/>
        </w:rPr>
        <w:t>.</w:t>
      </w:r>
    </w:p>
    <w:p w14:paraId="6DB69193" w14:textId="465A293F" w:rsidR="00837FD1" w:rsidRDefault="00107FDB" w:rsidP="007F2366">
      <w:pPr>
        <w:pStyle w:val="PlainText"/>
        <w:numPr>
          <w:ilvl w:val="0"/>
          <w:numId w:val="27"/>
        </w:numPr>
        <w:jc w:val="both"/>
        <w:rPr>
          <w:rFonts w:asciiTheme="minorHAnsi" w:hAnsiTheme="minorHAnsi" w:cstheme="minorHAnsi"/>
          <w:sz w:val="24"/>
          <w:szCs w:val="24"/>
        </w:rPr>
      </w:pPr>
      <w:r w:rsidRPr="00107FDB">
        <w:rPr>
          <w:rFonts w:asciiTheme="minorHAnsi" w:hAnsiTheme="minorHAnsi" w:cstheme="minorHAnsi"/>
          <w:sz w:val="24"/>
          <w:szCs w:val="24"/>
        </w:rPr>
        <w:t>Household Charge introduced €100</w:t>
      </w:r>
      <w:r w:rsidR="00B46167">
        <w:rPr>
          <w:rFonts w:asciiTheme="minorHAnsi" w:hAnsiTheme="minorHAnsi" w:cstheme="minorHAnsi"/>
          <w:sz w:val="24"/>
          <w:szCs w:val="24"/>
        </w:rPr>
        <w:t>.</w:t>
      </w:r>
    </w:p>
    <w:p w14:paraId="5661990A" w14:textId="0BED3DE4" w:rsidR="00107FDB" w:rsidRPr="00107FDB" w:rsidRDefault="00107FDB" w:rsidP="007F2366">
      <w:pPr>
        <w:pStyle w:val="PlainText"/>
        <w:numPr>
          <w:ilvl w:val="0"/>
          <w:numId w:val="27"/>
        </w:numPr>
        <w:jc w:val="both"/>
        <w:rPr>
          <w:rFonts w:asciiTheme="minorHAnsi" w:hAnsiTheme="minorHAnsi" w:cstheme="minorHAnsi"/>
          <w:sz w:val="24"/>
          <w:szCs w:val="24"/>
        </w:rPr>
      </w:pPr>
      <w:r w:rsidRPr="00107FDB">
        <w:rPr>
          <w:rFonts w:asciiTheme="minorHAnsi" w:hAnsiTheme="minorHAnsi" w:cstheme="minorHAnsi"/>
          <w:sz w:val="24"/>
          <w:szCs w:val="24"/>
        </w:rPr>
        <w:t>Rent supplements reduced</w:t>
      </w:r>
      <w:r w:rsidR="00B46167">
        <w:rPr>
          <w:rFonts w:asciiTheme="minorHAnsi" w:hAnsiTheme="minorHAnsi" w:cstheme="minorHAnsi"/>
          <w:sz w:val="24"/>
          <w:szCs w:val="24"/>
        </w:rPr>
        <w:t>.</w:t>
      </w:r>
      <w:r w:rsidRPr="00107FDB">
        <w:rPr>
          <w:rFonts w:asciiTheme="minorHAnsi" w:hAnsiTheme="minorHAnsi" w:cstheme="minorHAnsi"/>
          <w:sz w:val="24"/>
          <w:szCs w:val="24"/>
        </w:rPr>
        <w:t xml:space="preserve"> </w:t>
      </w:r>
    </w:p>
    <w:p w14:paraId="7938F86F" w14:textId="77777777" w:rsidR="00107FDB" w:rsidRPr="00107FDB" w:rsidRDefault="00107FDB" w:rsidP="007F2366">
      <w:pPr>
        <w:pStyle w:val="PlainText"/>
        <w:jc w:val="both"/>
        <w:rPr>
          <w:rFonts w:asciiTheme="minorHAnsi" w:hAnsiTheme="minorHAnsi" w:cstheme="minorHAnsi"/>
          <w:sz w:val="24"/>
          <w:szCs w:val="24"/>
        </w:rPr>
      </w:pPr>
      <w:r w:rsidRPr="00107FDB">
        <w:rPr>
          <w:rFonts w:asciiTheme="minorHAnsi" w:hAnsiTheme="minorHAnsi" w:cstheme="minorHAnsi"/>
          <w:sz w:val="24"/>
          <w:szCs w:val="24"/>
        </w:rPr>
        <w:t> </w:t>
      </w:r>
    </w:p>
    <w:p w14:paraId="7B23BC78" w14:textId="77777777" w:rsidR="00B46167" w:rsidRPr="00B46167" w:rsidRDefault="00107FDB" w:rsidP="007F2366">
      <w:pPr>
        <w:pStyle w:val="PlainText"/>
        <w:ind w:left="1440" w:hanging="1440"/>
        <w:jc w:val="both"/>
        <w:rPr>
          <w:rFonts w:asciiTheme="minorHAnsi" w:hAnsiTheme="minorHAnsi" w:cstheme="minorHAnsi"/>
          <w:b/>
          <w:bCs/>
          <w:sz w:val="24"/>
          <w:szCs w:val="24"/>
        </w:rPr>
      </w:pPr>
      <w:r w:rsidRPr="00B46167">
        <w:rPr>
          <w:rFonts w:asciiTheme="minorHAnsi" w:hAnsiTheme="minorHAnsi" w:cstheme="minorHAnsi"/>
          <w:b/>
          <w:bCs/>
          <w:sz w:val="24"/>
          <w:szCs w:val="24"/>
        </w:rPr>
        <w:t>2013             </w:t>
      </w:r>
    </w:p>
    <w:p w14:paraId="199FB86E" w14:textId="63F669F1" w:rsidR="00107FDB" w:rsidRPr="00107FDB" w:rsidRDefault="00107FDB" w:rsidP="00FC59E9">
      <w:pPr>
        <w:pStyle w:val="PlainText"/>
        <w:numPr>
          <w:ilvl w:val="0"/>
          <w:numId w:val="39"/>
        </w:numPr>
        <w:jc w:val="both"/>
        <w:rPr>
          <w:rFonts w:asciiTheme="minorHAnsi" w:hAnsiTheme="minorHAnsi" w:cstheme="minorHAnsi"/>
          <w:sz w:val="24"/>
          <w:szCs w:val="24"/>
        </w:rPr>
      </w:pPr>
      <w:r w:rsidRPr="00107FDB">
        <w:rPr>
          <w:rFonts w:asciiTheme="minorHAnsi" w:hAnsiTheme="minorHAnsi" w:cstheme="minorHAnsi"/>
          <w:sz w:val="24"/>
          <w:szCs w:val="24"/>
        </w:rPr>
        <w:t>Local Property Tax Introduced (Not allowable as an expense) NPPR still had to be paid</w:t>
      </w:r>
      <w:r w:rsidR="00B46167">
        <w:rPr>
          <w:rFonts w:asciiTheme="minorHAnsi" w:hAnsiTheme="minorHAnsi" w:cstheme="minorHAnsi"/>
          <w:sz w:val="24"/>
          <w:szCs w:val="24"/>
        </w:rPr>
        <w:t>.</w:t>
      </w:r>
    </w:p>
    <w:p w14:paraId="1F73226A" w14:textId="77777777" w:rsidR="00107FDB" w:rsidRPr="00107FDB" w:rsidRDefault="00107FDB" w:rsidP="007F2366">
      <w:pPr>
        <w:pStyle w:val="PlainText"/>
        <w:jc w:val="both"/>
        <w:rPr>
          <w:rFonts w:asciiTheme="minorHAnsi" w:hAnsiTheme="minorHAnsi" w:cstheme="minorHAnsi"/>
          <w:sz w:val="24"/>
          <w:szCs w:val="24"/>
        </w:rPr>
      </w:pPr>
      <w:r w:rsidRPr="00107FDB">
        <w:rPr>
          <w:rFonts w:asciiTheme="minorHAnsi" w:hAnsiTheme="minorHAnsi" w:cstheme="minorHAnsi"/>
          <w:sz w:val="24"/>
          <w:szCs w:val="24"/>
        </w:rPr>
        <w:t> </w:t>
      </w:r>
    </w:p>
    <w:p w14:paraId="000E542F" w14:textId="77777777" w:rsidR="00B46167" w:rsidRPr="00B46167" w:rsidRDefault="00107FDB" w:rsidP="007F2366">
      <w:pPr>
        <w:pStyle w:val="PlainText"/>
        <w:jc w:val="both"/>
        <w:rPr>
          <w:rFonts w:asciiTheme="minorHAnsi" w:hAnsiTheme="minorHAnsi" w:cstheme="minorHAnsi"/>
          <w:b/>
          <w:bCs/>
          <w:sz w:val="24"/>
          <w:szCs w:val="24"/>
        </w:rPr>
      </w:pPr>
      <w:r w:rsidRPr="00B46167">
        <w:rPr>
          <w:rFonts w:asciiTheme="minorHAnsi" w:hAnsiTheme="minorHAnsi" w:cstheme="minorHAnsi"/>
          <w:b/>
          <w:bCs/>
          <w:sz w:val="24"/>
          <w:szCs w:val="24"/>
        </w:rPr>
        <w:t xml:space="preserve">2014              </w:t>
      </w:r>
    </w:p>
    <w:p w14:paraId="1EFBF6CE" w14:textId="60DD0BD3" w:rsidR="00107FDB" w:rsidRPr="00107FDB" w:rsidRDefault="00107FDB" w:rsidP="007F2366">
      <w:pPr>
        <w:pStyle w:val="PlainText"/>
        <w:numPr>
          <w:ilvl w:val="0"/>
          <w:numId w:val="28"/>
        </w:numPr>
        <w:jc w:val="both"/>
        <w:rPr>
          <w:rFonts w:asciiTheme="minorHAnsi" w:hAnsiTheme="minorHAnsi" w:cstheme="minorHAnsi"/>
          <w:sz w:val="24"/>
          <w:szCs w:val="24"/>
        </w:rPr>
      </w:pPr>
      <w:r w:rsidRPr="00107FDB">
        <w:rPr>
          <w:rFonts w:asciiTheme="minorHAnsi" w:hAnsiTheme="minorHAnsi" w:cstheme="minorHAnsi"/>
          <w:sz w:val="24"/>
          <w:szCs w:val="24"/>
        </w:rPr>
        <w:t>Employee PRSI of 4</w:t>
      </w:r>
      <w:r w:rsidR="00B46167">
        <w:rPr>
          <w:rFonts w:asciiTheme="minorHAnsi" w:hAnsiTheme="minorHAnsi" w:cstheme="minorHAnsi"/>
          <w:sz w:val="24"/>
          <w:szCs w:val="24"/>
        </w:rPr>
        <w:t xml:space="preserve"> per cent</w:t>
      </w:r>
      <w:r w:rsidRPr="00107FDB">
        <w:rPr>
          <w:rFonts w:asciiTheme="minorHAnsi" w:hAnsiTheme="minorHAnsi" w:cstheme="minorHAnsi"/>
          <w:sz w:val="24"/>
          <w:szCs w:val="24"/>
        </w:rPr>
        <w:t xml:space="preserve"> to be charged on rental income</w:t>
      </w:r>
      <w:r w:rsidR="00B46167">
        <w:rPr>
          <w:rFonts w:asciiTheme="minorHAnsi" w:hAnsiTheme="minorHAnsi" w:cstheme="minorHAnsi"/>
          <w:sz w:val="24"/>
          <w:szCs w:val="24"/>
        </w:rPr>
        <w:t>.</w:t>
      </w:r>
      <w:r w:rsidRPr="00107FDB">
        <w:rPr>
          <w:rFonts w:asciiTheme="minorHAnsi" w:hAnsiTheme="minorHAnsi" w:cstheme="minorHAnsi"/>
          <w:sz w:val="24"/>
          <w:szCs w:val="24"/>
        </w:rPr>
        <w:t xml:space="preserve"> </w:t>
      </w:r>
    </w:p>
    <w:p w14:paraId="4337FC73" w14:textId="5C5C10F6" w:rsidR="00107FDB" w:rsidRPr="00107FDB" w:rsidRDefault="00107FDB" w:rsidP="007F2366">
      <w:pPr>
        <w:pStyle w:val="PlainText"/>
        <w:numPr>
          <w:ilvl w:val="0"/>
          <w:numId w:val="28"/>
        </w:numPr>
        <w:jc w:val="both"/>
        <w:rPr>
          <w:rFonts w:asciiTheme="minorHAnsi" w:hAnsiTheme="minorHAnsi" w:cstheme="minorHAnsi"/>
          <w:sz w:val="24"/>
          <w:szCs w:val="24"/>
        </w:rPr>
      </w:pPr>
      <w:r w:rsidRPr="00107FDB">
        <w:rPr>
          <w:rFonts w:asciiTheme="minorHAnsi" w:hAnsiTheme="minorHAnsi" w:cstheme="minorHAnsi"/>
          <w:sz w:val="24"/>
          <w:szCs w:val="24"/>
        </w:rPr>
        <w:t>Penalties for non-payment of €1000 NPPR frozen</w:t>
      </w:r>
      <w:r w:rsidR="00B46167">
        <w:rPr>
          <w:rFonts w:asciiTheme="minorHAnsi" w:hAnsiTheme="minorHAnsi" w:cstheme="minorHAnsi"/>
          <w:sz w:val="24"/>
          <w:szCs w:val="24"/>
        </w:rPr>
        <w:t>.</w:t>
      </w:r>
      <w:r w:rsidRPr="00107FDB">
        <w:rPr>
          <w:rFonts w:asciiTheme="minorHAnsi" w:hAnsiTheme="minorHAnsi" w:cstheme="minorHAnsi"/>
          <w:sz w:val="24"/>
          <w:szCs w:val="24"/>
        </w:rPr>
        <w:t xml:space="preserve"> </w:t>
      </w:r>
    </w:p>
    <w:p w14:paraId="55DCA9C8" w14:textId="77777777" w:rsidR="00107FDB" w:rsidRPr="00107FDB" w:rsidRDefault="00107FDB" w:rsidP="007F2366">
      <w:pPr>
        <w:pStyle w:val="PlainText"/>
        <w:jc w:val="both"/>
        <w:rPr>
          <w:rFonts w:asciiTheme="minorHAnsi" w:hAnsiTheme="minorHAnsi" w:cstheme="minorHAnsi"/>
          <w:sz w:val="24"/>
          <w:szCs w:val="24"/>
        </w:rPr>
      </w:pPr>
      <w:r w:rsidRPr="00107FDB">
        <w:rPr>
          <w:rFonts w:asciiTheme="minorHAnsi" w:hAnsiTheme="minorHAnsi" w:cstheme="minorHAnsi"/>
          <w:sz w:val="24"/>
          <w:szCs w:val="24"/>
        </w:rPr>
        <w:t> </w:t>
      </w:r>
    </w:p>
    <w:p w14:paraId="1175A896" w14:textId="77777777" w:rsidR="00B46167" w:rsidRPr="00B46167" w:rsidRDefault="00107FDB" w:rsidP="007F2366">
      <w:pPr>
        <w:pStyle w:val="PlainText"/>
        <w:jc w:val="both"/>
        <w:rPr>
          <w:rFonts w:asciiTheme="minorHAnsi" w:hAnsiTheme="minorHAnsi" w:cstheme="minorHAnsi"/>
          <w:b/>
          <w:bCs/>
          <w:sz w:val="24"/>
          <w:szCs w:val="24"/>
        </w:rPr>
      </w:pPr>
      <w:r w:rsidRPr="00B46167">
        <w:rPr>
          <w:rFonts w:asciiTheme="minorHAnsi" w:hAnsiTheme="minorHAnsi" w:cstheme="minorHAnsi"/>
          <w:b/>
          <w:bCs/>
          <w:sz w:val="24"/>
          <w:szCs w:val="24"/>
        </w:rPr>
        <w:t xml:space="preserve">2015              </w:t>
      </w:r>
    </w:p>
    <w:p w14:paraId="0D6A4DFA" w14:textId="69D134D7" w:rsidR="00107FDB" w:rsidRPr="00107FDB" w:rsidRDefault="00107FDB" w:rsidP="007F2366">
      <w:pPr>
        <w:pStyle w:val="PlainText"/>
        <w:numPr>
          <w:ilvl w:val="0"/>
          <w:numId w:val="29"/>
        </w:numPr>
        <w:jc w:val="both"/>
        <w:rPr>
          <w:rFonts w:asciiTheme="minorHAnsi" w:hAnsiTheme="minorHAnsi" w:cstheme="minorHAnsi"/>
          <w:sz w:val="24"/>
          <w:szCs w:val="24"/>
        </w:rPr>
      </w:pPr>
      <w:r w:rsidRPr="00107FDB">
        <w:rPr>
          <w:rFonts w:asciiTheme="minorHAnsi" w:hAnsiTheme="minorHAnsi" w:cstheme="minorHAnsi"/>
          <w:sz w:val="24"/>
          <w:szCs w:val="24"/>
        </w:rPr>
        <w:t>24 months restriction for rent variation</w:t>
      </w:r>
      <w:r w:rsidR="00B46167">
        <w:rPr>
          <w:rFonts w:asciiTheme="minorHAnsi" w:hAnsiTheme="minorHAnsi" w:cstheme="minorHAnsi"/>
          <w:sz w:val="24"/>
          <w:szCs w:val="24"/>
        </w:rPr>
        <w:t>.</w:t>
      </w:r>
      <w:r w:rsidRPr="00107FDB">
        <w:rPr>
          <w:rFonts w:asciiTheme="minorHAnsi" w:hAnsiTheme="minorHAnsi" w:cstheme="minorHAnsi"/>
          <w:sz w:val="24"/>
          <w:szCs w:val="24"/>
        </w:rPr>
        <w:t xml:space="preserve"> </w:t>
      </w:r>
    </w:p>
    <w:p w14:paraId="423E2E03" w14:textId="75B128BA" w:rsidR="00107FDB" w:rsidRPr="00107FDB" w:rsidRDefault="00107FDB" w:rsidP="007F2366">
      <w:pPr>
        <w:pStyle w:val="PlainText"/>
        <w:numPr>
          <w:ilvl w:val="0"/>
          <w:numId w:val="29"/>
        </w:numPr>
        <w:jc w:val="both"/>
        <w:rPr>
          <w:rFonts w:asciiTheme="minorHAnsi" w:hAnsiTheme="minorHAnsi" w:cstheme="minorHAnsi"/>
          <w:sz w:val="24"/>
          <w:szCs w:val="24"/>
        </w:rPr>
      </w:pPr>
      <w:r w:rsidRPr="00107FDB">
        <w:rPr>
          <w:rFonts w:asciiTheme="minorHAnsi" w:hAnsiTheme="minorHAnsi" w:cstheme="minorHAnsi"/>
          <w:sz w:val="24"/>
          <w:szCs w:val="24"/>
        </w:rPr>
        <w:lastRenderedPageBreak/>
        <w:t>Notices made needlessly complex, 3 comparable properties, statement, timeline increased from 28 days to 90 days</w:t>
      </w:r>
      <w:r w:rsidR="00B46167">
        <w:rPr>
          <w:rFonts w:asciiTheme="minorHAnsi" w:hAnsiTheme="minorHAnsi" w:cstheme="minorHAnsi"/>
          <w:sz w:val="24"/>
          <w:szCs w:val="24"/>
        </w:rPr>
        <w:t>.</w:t>
      </w:r>
    </w:p>
    <w:p w14:paraId="6677F9C9" w14:textId="435C5667" w:rsidR="00107FDB" w:rsidRPr="00107FDB" w:rsidRDefault="00107FDB" w:rsidP="007F2366">
      <w:pPr>
        <w:pStyle w:val="PlainText"/>
        <w:numPr>
          <w:ilvl w:val="0"/>
          <w:numId w:val="29"/>
        </w:numPr>
        <w:jc w:val="both"/>
        <w:rPr>
          <w:rFonts w:asciiTheme="minorHAnsi" w:hAnsiTheme="minorHAnsi" w:cstheme="minorHAnsi"/>
          <w:sz w:val="24"/>
          <w:szCs w:val="24"/>
        </w:rPr>
      </w:pPr>
      <w:r w:rsidRPr="00107FDB">
        <w:rPr>
          <w:rFonts w:asciiTheme="minorHAnsi" w:hAnsiTheme="minorHAnsi" w:cstheme="minorHAnsi"/>
          <w:sz w:val="24"/>
          <w:szCs w:val="24"/>
        </w:rPr>
        <w:t>Increased timelines for notices of terminations, more complex items added, statutory declarations required on some</w:t>
      </w:r>
      <w:r w:rsidR="00B46167">
        <w:rPr>
          <w:rFonts w:asciiTheme="minorHAnsi" w:hAnsiTheme="minorHAnsi" w:cstheme="minorHAnsi"/>
          <w:sz w:val="24"/>
          <w:szCs w:val="24"/>
        </w:rPr>
        <w:t xml:space="preserve">. </w:t>
      </w:r>
      <w:r w:rsidRPr="00107FDB">
        <w:rPr>
          <w:rFonts w:asciiTheme="minorHAnsi" w:hAnsiTheme="minorHAnsi" w:cstheme="minorHAnsi"/>
          <w:sz w:val="24"/>
          <w:szCs w:val="24"/>
        </w:rPr>
        <w:t xml:space="preserve"> </w:t>
      </w:r>
    </w:p>
    <w:p w14:paraId="23B685EA" w14:textId="77777777" w:rsidR="00107FDB" w:rsidRPr="00107FDB" w:rsidRDefault="00107FDB" w:rsidP="007F2366">
      <w:pPr>
        <w:pStyle w:val="PlainText"/>
        <w:jc w:val="both"/>
        <w:rPr>
          <w:rFonts w:asciiTheme="minorHAnsi" w:hAnsiTheme="minorHAnsi" w:cstheme="minorHAnsi"/>
          <w:sz w:val="24"/>
          <w:szCs w:val="24"/>
        </w:rPr>
      </w:pPr>
      <w:r w:rsidRPr="00107FDB">
        <w:rPr>
          <w:rFonts w:asciiTheme="minorHAnsi" w:hAnsiTheme="minorHAnsi" w:cstheme="minorHAnsi"/>
          <w:sz w:val="24"/>
          <w:szCs w:val="24"/>
        </w:rPr>
        <w:t>                                         </w:t>
      </w:r>
    </w:p>
    <w:p w14:paraId="62B28550" w14:textId="77777777" w:rsidR="00B46167" w:rsidRPr="00B46167" w:rsidRDefault="00107FDB" w:rsidP="007F2366">
      <w:pPr>
        <w:pStyle w:val="PlainText"/>
        <w:jc w:val="both"/>
        <w:rPr>
          <w:rFonts w:asciiTheme="minorHAnsi" w:hAnsiTheme="minorHAnsi" w:cstheme="minorHAnsi"/>
          <w:b/>
          <w:bCs/>
          <w:sz w:val="24"/>
          <w:szCs w:val="24"/>
        </w:rPr>
      </w:pPr>
      <w:r w:rsidRPr="00B46167">
        <w:rPr>
          <w:rFonts w:asciiTheme="minorHAnsi" w:hAnsiTheme="minorHAnsi" w:cstheme="minorHAnsi"/>
          <w:b/>
          <w:bCs/>
          <w:sz w:val="24"/>
          <w:szCs w:val="24"/>
        </w:rPr>
        <w:t xml:space="preserve">2016              </w:t>
      </w:r>
    </w:p>
    <w:p w14:paraId="2C3C1915" w14:textId="7C69516B" w:rsidR="00107FDB" w:rsidRPr="00107FDB" w:rsidRDefault="00107FDB" w:rsidP="007F2366">
      <w:pPr>
        <w:pStyle w:val="PlainText"/>
        <w:numPr>
          <w:ilvl w:val="0"/>
          <w:numId w:val="30"/>
        </w:numPr>
        <w:jc w:val="both"/>
        <w:rPr>
          <w:rFonts w:asciiTheme="minorHAnsi" w:hAnsiTheme="minorHAnsi" w:cstheme="minorHAnsi"/>
          <w:sz w:val="24"/>
          <w:szCs w:val="24"/>
        </w:rPr>
      </w:pPr>
      <w:r w:rsidRPr="00107FDB">
        <w:rPr>
          <w:rFonts w:asciiTheme="minorHAnsi" w:hAnsiTheme="minorHAnsi" w:cstheme="minorHAnsi"/>
          <w:sz w:val="24"/>
          <w:szCs w:val="24"/>
        </w:rPr>
        <w:t>Equal Status Act discriminatory on Housing Assistance</w:t>
      </w:r>
      <w:r w:rsidR="00B46167">
        <w:rPr>
          <w:rFonts w:asciiTheme="minorHAnsi" w:hAnsiTheme="minorHAnsi" w:cstheme="minorHAnsi"/>
          <w:sz w:val="24"/>
          <w:szCs w:val="24"/>
        </w:rPr>
        <w:t xml:space="preserve"> g</w:t>
      </w:r>
      <w:r w:rsidRPr="00107FDB">
        <w:rPr>
          <w:rFonts w:asciiTheme="minorHAnsi" w:hAnsiTheme="minorHAnsi" w:cstheme="minorHAnsi"/>
          <w:sz w:val="24"/>
          <w:szCs w:val="24"/>
        </w:rPr>
        <w:t>round</w:t>
      </w:r>
      <w:r w:rsidR="00B46167">
        <w:rPr>
          <w:rFonts w:asciiTheme="minorHAnsi" w:hAnsiTheme="minorHAnsi" w:cstheme="minorHAnsi"/>
          <w:sz w:val="24"/>
          <w:szCs w:val="24"/>
        </w:rPr>
        <w:t xml:space="preserve">s. </w:t>
      </w:r>
    </w:p>
    <w:p w14:paraId="189B0184" w14:textId="40F4B01D" w:rsidR="00107FDB" w:rsidRPr="00107FDB" w:rsidRDefault="00107FDB" w:rsidP="007F2366">
      <w:pPr>
        <w:pStyle w:val="PlainText"/>
        <w:numPr>
          <w:ilvl w:val="0"/>
          <w:numId w:val="30"/>
        </w:numPr>
        <w:jc w:val="both"/>
        <w:rPr>
          <w:rFonts w:asciiTheme="minorHAnsi" w:hAnsiTheme="minorHAnsi" w:cstheme="minorHAnsi"/>
          <w:sz w:val="24"/>
          <w:szCs w:val="24"/>
        </w:rPr>
      </w:pPr>
      <w:r w:rsidRPr="00107FDB">
        <w:rPr>
          <w:rFonts w:asciiTheme="minorHAnsi" w:hAnsiTheme="minorHAnsi" w:cstheme="minorHAnsi"/>
          <w:sz w:val="24"/>
          <w:szCs w:val="24"/>
        </w:rPr>
        <w:t>Rent Control introduced for 3-year period – emergency period – no account taken of level of rent</w:t>
      </w:r>
      <w:r w:rsidR="00B46167">
        <w:rPr>
          <w:rFonts w:asciiTheme="minorHAnsi" w:hAnsiTheme="minorHAnsi" w:cstheme="minorHAnsi"/>
          <w:sz w:val="24"/>
          <w:szCs w:val="24"/>
        </w:rPr>
        <w:t>.</w:t>
      </w:r>
      <w:r w:rsidRPr="00107FDB">
        <w:rPr>
          <w:rFonts w:asciiTheme="minorHAnsi" w:hAnsiTheme="minorHAnsi" w:cstheme="minorHAnsi"/>
          <w:sz w:val="24"/>
          <w:szCs w:val="24"/>
        </w:rPr>
        <w:t xml:space="preserve"> </w:t>
      </w:r>
    </w:p>
    <w:p w14:paraId="0D95D1FD" w14:textId="06151BC9" w:rsidR="00107FDB" w:rsidRPr="00107FDB" w:rsidRDefault="00107FDB" w:rsidP="007F2366">
      <w:pPr>
        <w:pStyle w:val="PlainText"/>
        <w:numPr>
          <w:ilvl w:val="0"/>
          <w:numId w:val="30"/>
        </w:numPr>
        <w:jc w:val="both"/>
        <w:rPr>
          <w:rFonts w:asciiTheme="minorHAnsi" w:hAnsiTheme="minorHAnsi" w:cstheme="minorHAnsi"/>
          <w:sz w:val="24"/>
          <w:szCs w:val="24"/>
        </w:rPr>
      </w:pPr>
      <w:r w:rsidRPr="00107FDB">
        <w:rPr>
          <w:rFonts w:asciiTheme="minorHAnsi" w:hAnsiTheme="minorHAnsi" w:cstheme="minorHAnsi"/>
          <w:sz w:val="24"/>
          <w:szCs w:val="24"/>
        </w:rPr>
        <w:t>New owners of rental properties limited to previous rent plus RPZ regardless of level previously set</w:t>
      </w:r>
      <w:r w:rsidR="00B46167">
        <w:rPr>
          <w:rFonts w:asciiTheme="minorHAnsi" w:hAnsiTheme="minorHAnsi" w:cstheme="minorHAnsi"/>
          <w:sz w:val="24"/>
          <w:szCs w:val="24"/>
        </w:rPr>
        <w:t>.</w:t>
      </w:r>
    </w:p>
    <w:p w14:paraId="72F193E1" w14:textId="38C30F6E" w:rsidR="00B46167" w:rsidRPr="00B46167" w:rsidRDefault="00107FDB" w:rsidP="007F2366">
      <w:pPr>
        <w:pStyle w:val="ListParagraph"/>
        <w:numPr>
          <w:ilvl w:val="0"/>
          <w:numId w:val="30"/>
        </w:numPr>
        <w:jc w:val="both"/>
        <w:rPr>
          <w:rFonts w:cstheme="minorHAnsi"/>
          <w:sz w:val="24"/>
          <w:szCs w:val="24"/>
        </w:rPr>
      </w:pPr>
      <w:r w:rsidRPr="00B46167">
        <w:rPr>
          <w:rFonts w:cstheme="minorHAnsi"/>
          <w:sz w:val="24"/>
          <w:szCs w:val="24"/>
        </w:rPr>
        <w:t>Tenants right of occupation increased from 4 years to 6 years</w:t>
      </w:r>
      <w:r w:rsidR="00B46167" w:rsidRPr="00B46167">
        <w:rPr>
          <w:rFonts w:cstheme="minorHAnsi"/>
          <w:sz w:val="24"/>
          <w:szCs w:val="24"/>
        </w:rPr>
        <w:t>.</w:t>
      </w:r>
    </w:p>
    <w:p w14:paraId="35AF1EA5" w14:textId="01A25EB4" w:rsidR="00107FDB" w:rsidRPr="00B46167" w:rsidRDefault="00107FDB" w:rsidP="007F2366">
      <w:pPr>
        <w:pStyle w:val="ListParagraph"/>
        <w:numPr>
          <w:ilvl w:val="0"/>
          <w:numId w:val="30"/>
        </w:numPr>
        <w:jc w:val="both"/>
        <w:rPr>
          <w:rFonts w:cstheme="minorHAnsi"/>
          <w:sz w:val="24"/>
          <w:szCs w:val="24"/>
        </w:rPr>
      </w:pPr>
      <w:r w:rsidRPr="00B46167">
        <w:rPr>
          <w:rFonts w:cstheme="minorHAnsi"/>
          <w:sz w:val="24"/>
          <w:szCs w:val="24"/>
        </w:rPr>
        <w:t>Restriction on selling on 10 units</w:t>
      </w:r>
      <w:r w:rsidR="00B46167" w:rsidRPr="00B46167">
        <w:rPr>
          <w:rFonts w:cstheme="minorHAnsi"/>
          <w:sz w:val="24"/>
          <w:szCs w:val="24"/>
        </w:rPr>
        <w:t>.</w:t>
      </w:r>
      <w:r w:rsidRPr="00B46167">
        <w:rPr>
          <w:rFonts w:cstheme="minorHAnsi"/>
          <w:sz w:val="24"/>
          <w:szCs w:val="24"/>
        </w:rPr>
        <w:t xml:space="preserve"> </w:t>
      </w:r>
    </w:p>
    <w:p w14:paraId="21673A2A" w14:textId="77777777" w:rsidR="00B46167" w:rsidRPr="00B46167" w:rsidRDefault="00107FDB" w:rsidP="000A24E8">
      <w:pPr>
        <w:spacing w:before="240" w:after="0"/>
        <w:ind w:left="1440" w:hanging="1440"/>
        <w:jc w:val="both"/>
        <w:rPr>
          <w:rFonts w:cstheme="minorHAnsi"/>
          <w:b/>
          <w:bCs/>
          <w:sz w:val="24"/>
          <w:szCs w:val="24"/>
        </w:rPr>
      </w:pPr>
      <w:r w:rsidRPr="00B46167">
        <w:rPr>
          <w:rFonts w:cstheme="minorHAnsi"/>
          <w:b/>
          <w:bCs/>
          <w:sz w:val="24"/>
          <w:szCs w:val="24"/>
        </w:rPr>
        <w:t>2017             </w:t>
      </w:r>
    </w:p>
    <w:p w14:paraId="19C28C6A" w14:textId="034A20C3" w:rsidR="00B46167" w:rsidRPr="00B46167" w:rsidRDefault="00107FDB" w:rsidP="007F2366">
      <w:pPr>
        <w:pStyle w:val="ListParagraph"/>
        <w:numPr>
          <w:ilvl w:val="0"/>
          <w:numId w:val="31"/>
        </w:numPr>
        <w:jc w:val="both"/>
        <w:rPr>
          <w:rFonts w:cstheme="minorHAnsi"/>
          <w:sz w:val="24"/>
          <w:szCs w:val="24"/>
        </w:rPr>
      </w:pPr>
      <w:r w:rsidRPr="00B46167">
        <w:rPr>
          <w:rFonts w:cstheme="minorHAnsi"/>
          <w:sz w:val="24"/>
          <w:szCs w:val="24"/>
        </w:rPr>
        <w:t xml:space="preserve">Withdrawal of the right to terminate in first six months of further </w:t>
      </w:r>
      <w:r w:rsidR="00B46167" w:rsidRPr="00B46167">
        <w:rPr>
          <w:rFonts w:cstheme="minorHAnsi"/>
          <w:sz w:val="24"/>
          <w:szCs w:val="24"/>
        </w:rPr>
        <w:t>P</w:t>
      </w:r>
      <w:r w:rsidRPr="00B46167">
        <w:rPr>
          <w:rFonts w:cstheme="minorHAnsi"/>
          <w:sz w:val="24"/>
          <w:szCs w:val="24"/>
        </w:rPr>
        <w:t>art 4</w:t>
      </w:r>
      <w:r w:rsidR="00B46167" w:rsidRPr="00B46167">
        <w:rPr>
          <w:rFonts w:cstheme="minorHAnsi"/>
          <w:sz w:val="24"/>
          <w:szCs w:val="24"/>
        </w:rPr>
        <w:t>.</w:t>
      </w:r>
      <w:r w:rsidRPr="00B46167">
        <w:rPr>
          <w:rFonts w:cstheme="minorHAnsi"/>
          <w:sz w:val="24"/>
          <w:szCs w:val="24"/>
        </w:rPr>
        <w:t xml:space="preserve"> </w:t>
      </w:r>
    </w:p>
    <w:p w14:paraId="326FA0E3" w14:textId="240FBBD1" w:rsidR="00107FDB" w:rsidRPr="00B46167" w:rsidRDefault="00107FDB" w:rsidP="007F2366">
      <w:pPr>
        <w:pStyle w:val="ListParagraph"/>
        <w:numPr>
          <w:ilvl w:val="0"/>
          <w:numId w:val="31"/>
        </w:numPr>
        <w:jc w:val="both"/>
        <w:rPr>
          <w:rFonts w:cstheme="minorHAnsi"/>
          <w:sz w:val="24"/>
          <w:szCs w:val="24"/>
        </w:rPr>
      </w:pPr>
      <w:r w:rsidRPr="00B46167">
        <w:rPr>
          <w:rFonts w:cstheme="minorHAnsi"/>
          <w:sz w:val="24"/>
          <w:szCs w:val="24"/>
        </w:rPr>
        <w:t>Housing Standards updated and obligations increased</w:t>
      </w:r>
      <w:r w:rsidR="00B46167">
        <w:rPr>
          <w:rFonts w:cstheme="minorHAnsi"/>
          <w:sz w:val="24"/>
          <w:szCs w:val="24"/>
        </w:rPr>
        <w:t>.</w:t>
      </w:r>
      <w:r w:rsidRPr="00B46167">
        <w:rPr>
          <w:rFonts w:cstheme="minorHAnsi"/>
          <w:sz w:val="24"/>
          <w:szCs w:val="24"/>
        </w:rPr>
        <w:t xml:space="preserve"> </w:t>
      </w:r>
    </w:p>
    <w:p w14:paraId="7A9367C9" w14:textId="77777777" w:rsidR="00B46167" w:rsidRPr="00B46167" w:rsidRDefault="00107FDB" w:rsidP="000A24E8">
      <w:pPr>
        <w:spacing w:before="240" w:after="0"/>
        <w:jc w:val="both"/>
        <w:rPr>
          <w:rFonts w:cstheme="minorHAnsi"/>
          <w:b/>
          <w:bCs/>
          <w:sz w:val="24"/>
          <w:szCs w:val="24"/>
        </w:rPr>
      </w:pPr>
      <w:r w:rsidRPr="00B46167">
        <w:rPr>
          <w:rFonts w:cstheme="minorHAnsi"/>
          <w:b/>
          <w:bCs/>
          <w:sz w:val="24"/>
          <w:szCs w:val="24"/>
        </w:rPr>
        <w:t>2018       </w:t>
      </w:r>
    </w:p>
    <w:p w14:paraId="52C0C90B" w14:textId="6002E055" w:rsidR="00107FDB" w:rsidRPr="00644303" w:rsidRDefault="00107FDB" w:rsidP="00FC59E9">
      <w:pPr>
        <w:pStyle w:val="ListParagraph"/>
        <w:numPr>
          <w:ilvl w:val="0"/>
          <w:numId w:val="32"/>
        </w:numPr>
        <w:ind w:left="709"/>
        <w:jc w:val="both"/>
        <w:rPr>
          <w:rFonts w:cstheme="minorHAnsi"/>
          <w:sz w:val="24"/>
          <w:szCs w:val="24"/>
        </w:rPr>
      </w:pPr>
      <w:r w:rsidRPr="00644303">
        <w:rPr>
          <w:rFonts w:cstheme="minorHAnsi"/>
          <w:sz w:val="24"/>
          <w:szCs w:val="24"/>
        </w:rPr>
        <w:t>Increased number of Rent Pressure Zones</w:t>
      </w:r>
      <w:r w:rsidR="00B46167" w:rsidRPr="00644303">
        <w:rPr>
          <w:rFonts w:cstheme="minorHAnsi"/>
          <w:sz w:val="24"/>
          <w:szCs w:val="24"/>
        </w:rPr>
        <w:t>.</w:t>
      </w:r>
      <w:r w:rsidRPr="00644303">
        <w:rPr>
          <w:rFonts w:cstheme="minorHAnsi"/>
          <w:sz w:val="24"/>
          <w:szCs w:val="24"/>
        </w:rPr>
        <w:t xml:space="preserve"> </w:t>
      </w:r>
    </w:p>
    <w:p w14:paraId="6DABA1AB" w14:textId="77777777" w:rsidR="00644303" w:rsidRDefault="00107FDB" w:rsidP="00FC59E9">
      <w:pPr>
        <w:spacing w:after="0"/>
        <w:ind w:left="1440" w:hanging="1440"/>
        <w:jc w:val="both"/>
        <w:rPr>
          <w:rFonts w:cstheme="minorHAnsi"/>
          <w:sz w:val="24"/>
          <w:szCs w:val="24"/>
        </w:rPr>
      </w:pPr>
      <w:r w:rsidRPr="00644303">
        <w:rPr>
          <w:rFonts w:cstheme="minorHAnsi"/>
          <w:b/>
          <w:bCs/>
          <w:sz w:val="24"/>
          <w:szCs w:val="24"/>
        </w:rPr>
        <w:t>2019 </w:t>
      </w:r>
      <w:r w:rsidRPr="00107FDB">
        <w:rPr>
          <w:rFonts w:cstheme="minorHAnsi"/>
          <w:sz w:val="24"/>
          <w:szCs w:val="24"/>
        </w:rPr>
        <w:t>   </w:t>
      </w:r>
    </w:p>
    <w:p w14:paraId="5A33613E" w14:textId="37F73F9E" w:rsidR="00107FDB" w:rsidRPr="00644303" w:rsidRDefault="00107FDB" w:rsidP="00FC59E9">
      <w:pPr>
        <w:pStyle w:val="ListParagraph"/>
        <w:numPr>
          <w:ilvl w:val="0"/>
          <w:numId w:val="32"/>
        </w:numPr>
        <w:ind w:left="709"/>
        <w:jc w:val="both"/>
        <w:rPr>
          <w:rFonts w:cstheme="minorHAnsi"/>
          <w:sz w:val="24"/>
          <w:szCs w:val="24"/>
        </w:rPr>
      </w:pPr>
      <w:r w:rsidRPr="00644303">
        <w:rPr>
          <w:rFonts w:cstheme="minorHAnsi"/>
          <w:sz w:val="24"/>
          <w:szCs w:val="24"/>
        </w:rPr>
        <w:t>RPZs extended for 2 more years (nothing to address unsustainable rent)</w:t>
      </w:r>
      <w:r w:rsidR="00644303">
        <w:rPr>
          <w:rFonts w:cstheme="minorHAnsi"/>
          <w:sz w:val="24"/>
          <w:szCs w:val="24"/>
        </w:rPr>
        <w:t>.</w:t>
      </w:r>
    </w:p>
    <w:p w14:paraId="00266736" w14:textId="39D019CF" w:rsidR="00107FDB" w:rsidRPr="00644303" w:rsidRDefault="00107FDB" w:rsidP="00FC59E9">
      <w:pPr>
        <w:pStyle w:val="ListParagraph"/>
        <w:numPr>
          <w:ilvl w:val="0"/>
          <w:numId w:val="32"/>
        </w:numPr>
        <w:ind w:left="709"/>
        <w:jc w:val="both"/>
        <w:rPr>
          <w:rFonts w:cstheme="minorHAnsi"/>
          <w:sz w:val="24"/>
          <w:szCs w:val="24"/>
        </w:rPr>
      </w:pPr>
      <w:r w:rsidRPr="00644303">
        <w:rPr>
          <w:rFonts w:cstheme="minorHAnsi"/>
          <w:sz w:val="24"/>
          <w:szCs w:val="24"/>
        </w:rPr>
        <w:t xml:space="preserve">Increased </w:t>
      </w:r>
      <w:r w:rsidR="00FC59E9" w:rsidRPr="00644303">
        <w:rPr>
          <w:rFonts w:cstheme="minorHAnsi"/>
          <w:sz w:val="24"/>
          <w:szCs w:val="24"/>
        </w:rPr>
        <w:t>timelines</w:t>
      </w:r>
      <w:r w:rsidRPr="00644303">
        <w:rPr>
          <w:rFonts w:cstheme="minorHAnsi"/>
          <w:sz w:val="24"/>
          <w:szCs w:val="24"/>
        </w:rPr>
        <w:t xml:space="preserve"> for terminations on landlords</w:t>
      </w:r>
      <w:r w:rsidR="00644303">
        <w:rPr>
          <w:rFonts w:cstheme="minorHAnsi"/>
          <w:sz w:val="24"/>
          <w:szCs w:val="24"/>
        </w:rPr>
        <w:t>.</w:t>
      </w:r>
      <w:r w:rsidRPr="00644303">
        <w:rPr>
          <w:rFonts w:cstheme="minorHAnsi"/>
          <w:sz w:val="24"/>
          <w:szCs w:val="24"/>
        </w:rPr>
        <w:t xml:space="preserve"> </w:t>
      </w:r>
    </w:p>
    <w:p w14:paraId="5C52345E" w14:textId="5DF1F3F1" w:rsidR="00107FDB" w:rsidRPr="00644303" w:rsidRDefault="00107FDB" w:rsidP="00FC59E9">
      <w:pPr>
        <w:pStyle w:val="ListParagraph"/>
        <w:numPr>
          <w:ilvl w:val="0"/>
          <w:numId w:val="32"/>
        </w:numPr>
        <w:ind w:left="709"/>
        <w:jc w:val="both"/>
        <w:rPr>
          <w:rFonts w:cstheme="minorHAnsi"/>
          <w:sz w:val="24"/>
          <w:szCs w:val="24"/>
        </w:rPr>
      </w:pPr>
      <w:r w:rsidRPr="00644303">
        <w:rPr>
          <w:rFonts w:cstheme="minorHAnsi"/>
          <w:sz w:val="24"/>
          <w:szCs w:val="24"/>
        </w:rPr>
        <w:t>Introduction of unworkable substantial refurbishment definition</w:t>
      </w:r>
      <w:r w:rsidR="00644303">
        <w:rPr>
          <w:rFonts w:cstheme="minorHAnsi"/>
          <w:sz w:val="24"/>
          <w:szCs w:val="24"/>
        </w:rPr>
        <w:t>.</w:t>
      </w:r>
    </w:p>
    <w:p w14:paraId="58AFEB5E" w14:textId="26283BFE" w:rsidR="00107FDB" w:rsidRPr="00644303" w:rsidRDefault="00107FDB" w:rsidP="00FC59E9">
      <w:pPr>
        <w:pStyle w:val="ListParagraph"/>
        <w:numPr>
          <w:ilvl w:val="0"/>
          <w:numId w:val="32"/>
        </w:numPr>
        <w:ind w:left="709"/>
        <w:jc w:val="both"/>
        <w:rPr>
          <w:rFonts w:cstheme="minorHAnsi"/>
          <w:sz w:val="24"/>
          <w:szCs w:val="24"/>
        </w:rPr>
      </w:pPr>
      <w:r w:rsidRPr="00644303">
        <w:rPr>
          <w:rFonts w:cstheme="minorHAnsi"/>
          <w:sz w:val="24"/>
          <w:szCs w:val="24"/>
        </w:rPr>
        <w:t>New Termination obligations and procedures</w:t>
      </w:r>
      <w:r w:rsidR="00644303">
        <w:rPr>
          <w:rFonts w:cstheme="minorHAnsi"/>
          <w:sz w:val="24"/>
          <w:szCs w:val="24"/>
        </w:rPr>
        <w:t>.</w:t>
      </w:r>
      <w:r w:rsidRPr="00644303">
        <w:rPr>
          <w:rFonts w:cstheme="minorHAnsi"/>
          <w:sz w:val="24"/>
          <w:szCs w:val="24"/>
        </w:rPr>
        <w:t xml:space="preserve"> </w:t>
      </w:r>
    </w:p>
    <w:p w14:paraId="6FE5489E" w14:textId="38968D24" w:rsidR="00107FDB" w:rsidRPr="00644303" w:rsidRDefault="00107FDB" w:rsidP="00FC59E9">
      <w:pPr>
        <w:pStyle w:val="ListParagraph"/>
        <w:numPr>
          <w:ilvl w:val="0"/>
          <w:numId w:val="32"/>
        </w:numPr>
        <w:ind w:left="709"/>
        <w:jc w:val="both"/>
        <w:rPr>
          <w:rFonts w:cstheme="minorHAnsi"/>
          <w:sz w:val="24"/>
          <w:szCs w:val="24"/>
        </w:rPr>
      </w:pPr>
      <w:r w:rsidRPr="00644303">
        <w:rPr>
          <w:rFonts w:cstheme="minorHAnsi"/>
          <w:sz w:val="24"/>
          <w:szCs w:val="24"/>
        </w:rPr>
        <w:t>Investigation and Sanction Power</w:t>
      </w:r>
      <w:r w:rsidR="00644303">
        <w:rPr>
          <w:rFonts w:cstheme="minorHAnsi"/>
          <w:sz w:val="24"/>
          <w:szCs w:val="24"/>
        </w:rPr>
        <w:t>.</w:t>
      </w:r>
      <w:r w:rsidRPr="00644303">
        <w:rPr>
          <w:rFonts w:cstheme="minorHAnsi"/>
          <w:sz w:val="24"/>
          <w:szCs w:val="24"/>
        </w:rPr>
        <w:t xml:space="preserve"> </w:t>
      </w:r>
    </w:p>
    <w:p w14:paraId="4A1FBC93" w14:textId="02B16E68" w:rsidR="00107FDB" w:rsidRPr="00644303" w:rsidRDefault="00107FDB" w:rsidP="00FC59E9">
      <w:pPr>
        <w:pStyle w:val="ListParagraph"/>
        <w:numPr>
          <w:ilvl w:val="0"/>
          <w:numId w:val="32"/>
        </w:numPr>
        <w:ind w:left="709"/>
        <w:jc w:val="both"/>
        <w:rPr>
          <w:rFonts w:cstheme="minorHAnsi"/>
          <w:sz w:val="24"/>
          <w:szCs w:val="24"/>
        </w:rPr>
      </w:pPr>
      <w:r w:rsidRPr="00644303">
        <w:rPr>
          <w:rFonts w:cstheme="minorHAnsi"/>
          <w:sz w:val="24"/>
          <w:szCs w:val="24"/>
        </w:rPr>
        <w:t>Student specific accommodation registration requirements</w:t>
      </w:r>
      <w:r w:rsidR="00644303">
        <w:rPr>
          <w:rFonts w:cstheme="minorHAnsi"/>
          <w:sz w:val="24"/>
          <w:szCs w:val="24"/>
        </w:rPr>
        <w:t>.</w:t>
      </w:r>
    </w:p>
    <w:p w14:paraId="0990AD2E" w14:textId="7223C2EE" w:rsidR="00107FDB" w:rsidRPr="00644303" w:rsidRDefault="00107FDB" w:rsidP="00FC59E9">
      <w:pPr>
        <w:pStyle w:val="ListParagraph"/>
        <w:numPr>
          <w:ilvl w:val="0"/>
          <w:numId w:val="32"/>
        </w:numPr>
        <w:ind w:left="709"/>
        <w:jc w:val="both"/>
        <w:rPr>
          <w:rFonts w:cstheme="minorHAnsi"/>
          <w:sz w:val="24"/>
          <w:szCs w:val="24"/>
        </w:rPr>
      </w:pPr>
      <w:r w:rsidRPr="00644303">
        <w:rPr>
          <w:rFonts w:cstheme="minorHAnsi"/>
          <w:sz w:val="24"/>
          <w:szCs w:val="24"/>
        </w:rPr>
        <w:t>Change for rules for Rent Pressure Criteria 27 new RPZ’s</w:t>
      </w:r>
      <w:r w:rsidR="00644303" w:rsidRPr="00644303">
        <w:rPr>
          <w:rFonts w:cstheme="minorHAnsi"/>
          <w:sz w:val="24"/>
          <w:szCs w:val="24"/>
        </w:rPr>
        <w:t>.</w:t>
      </w:r>
    </w:p>
    <w:p w14:paraId="121C186B" w14:textId="0F3B81A6" w:rsidR="00644303" w:rsidRPr="00644303" w:rsidRDefault="00107FDB" w:rsidP="000A24E8">
      <w:pPr>
        <w:spacing w:after="0"/>
        <w:jc w:val="both"/>
        <w:rPr>
          <w:rFonts w:cstheme="minorHAnsi"/>
          <w:b/>
          <w:bCs/>
          <w:sz w:val="24"/>
          <w:szCs w:val="24"/>
        </w:rPr>
      </w:pPr>
      <w:r w:rsidRPr="00107FDB">
        <w:rPr>
          <w:rFonts w:cstheme="minorHAnsi"/>
          <w:sz w:val="24"/>
          <w:szCs w:val="24"/>
        </w:rPr>
        <w:t> </w:t>
      </w:r>
      <w:r w:rsidRPr="00644303">
        <w:rPr>
          <w:rFonts w:cstheme="minorHAnsi"/>
          <w:b/>
          <w:bCs/>
          <w:sz w:val="24"/>
          <w:szCs w:val="24"/>
        </w:rPr>
        <w:t xml:space="preserve">2021             </w:t>
      </w:r>
    </w:p>
    <w:p w14:paraId="40F5FA62" w14:textId="58B37DFF" w:rsidR="00107FDB" w:rsidRPr="00644303" w:rsidRDefault="00107FDB" w:rsidP="007F2366">
      <w:pPr>
        <w:pStyle w:val="ListParagraph"/>
        <w:numPr>
          <w:ilvl w:val="0"/>
          <w:numId w:val="34"/>
        </w:numPr>
        <w:jc w:val="both"/>
        <w:rPr>
          <w:rFonts w:cstheme="minorHAnsi"/>
          <w:sz w:val="24"/>
          <w:szCs w:val="24"/>
        </w:rPr>
      </w:pPr>
      <w:r w:rsidRPr="00644303">
        <w:rPr>
          <w:rFonts w:cstheme="minorHAnsi"/>
          <w:sz w:val="24"/>
          <w:szCs w:val="24"/>
        </w:rPr>
        <w:t>RPZ’s extended for further 3 years</w:t>
      </w:r>
      <w:r w:rsidR="00644303" w:rsidRPr="00644303">
        <w:rPr>
          <w:rFonts w:cstheme="minorHAnsi"/>
          <w:sz w:val="24"/>
          <w:szCs w:val="24"/>
        </w:rPr>
        <w:t>.</w:t>
      </w:r>
    </w:p>
    <w:p w14:paraId="37935932" w14:textId="066D63FA" w:rsidR="00107FDB" w:rsidRPr="00644303" w:rsidRDefault="00107FDB" w:rsidP="007F2366">
      <w:pPr>
        <w:pStyle w:val="ListParagraph"/>
        <w:numPr>
          <w:ilvl w:val="0"/>
          <w:numId w:val="34"/>
        </w:numPr>
        <w:jc w:val="both"/>
        <w:rPr>
          <w:rFonts w:cstheme="minorHAnsi"/>
          <w:sz w:val="24"/>
          <w:szCs w:val="24"/>
        </w:rPr>
      </w:pPr>
      <w:r w:rsidRPr="00644303">
        <w:rPr>
          <w:rFonts w:cstheme="minorHAnsi"/>
          <w:sz w:val="24"/>
          <w:szCs w:val="24"/>
        </w:rPr>
        <w:t>RPZ criteria changed to H</w:t>
      </w:r>
      <w:r w:rsidR="00644303" w:rsidRPr="00644303">
        <w:rPr>
          <w:rFonts w:cstheme="minorHAnsi"/>
          <w:sz w:val="24"/>
          <w:szCs w:val="24"/>
        </w:rPr>
        <w:t>IC</w:t>
      </w:r>
      <w:r w:rsidRPr="00644303">
        <w:rPr>
          <w:rFonts w:cstheme="minorHAnsi"/>
          <w:sz w:val="24"/>
          <w:szCs w:val="24"/>
        </w:rPr>
        <w:t>P in July</w:t>
      </w:r>
      <w:r w:rsidR="00644303">
        <w:rPr>
          <w:rFonts w:cstheme="minorHAnsi"/>
          <w:sz w:val="24"/>
          <w:szCs w:val="24"/>
        </w:rPr>
        <w:t>.</w:t>
      </w:r>
    </w:p>
    <w:p w14:paraId="2AD1939B" w14:textId="30073ED6" w:rsidR="00107FDB" w:rsidRPr="00644303" w:rsidRDefault="00107FDB" w:rsidP="007F2366">
      <w:pPr>
        <w:pStyle w:val="ListParagraph"/>
        <w:numPr>
          <w:ilvl w:val="0"/>
          <w:numId w:val="34"/>
        </w:numPr>
        <w:jc w:val="both"/>
        <w:rPr>
          <w:rFonts w:cstheme="minorHAnsi"/>
          <w:sz w:val="24"/>
          <w:szCs w:val="24"/>
        </w:rPr>
      </w:pPr>
      <w:r w:rsidRPr="00644303">
        <w:rPr>
          <w:rFonts w:cstheme="minorHAnsi"/>
          <w:sz w:val="24"/>
          <w:szCs w:val="24"/>
        </w:rPr>
        <w:t>RPZ rental increase criteria limited to 2</w:t>
      </w:r>
      <w:r w:rsidR="000C245A">
        <w:rPr>
          <w:rFonts w:cstheme="minorHAnsi"/>
          <w:sz w:val="24"/>
          <w:szCs w:val="24"/>
        </w:rPr>
        <w:t xml:space="preserve"> per cent</w:t>
      </w:r>
      <w:r w:rsidRPr="00644303">
        <w:rPr>
          <w:rFonts w:cstheme="minorHAnsi"/>
          <w:sz w:val="24"/>
          <w:szCs w:val="24"/>
        </w:rPr>
        <w:t xml:space="preserve"> or H</w:t>
      </w:r>
      <w:r w:rsidR="000C245A">
        <w:rPr>
          <w:rFonts w:cstheme="minorHAnsi"/>
          <w:sz w:val="24"/>
          <w:szCs w:val="24"/>
        </w:rPr>
        <w:t>ICP</w:t>
      </w:r>
      <w:r w:rsidRPr="00644303">
        <w:rPr>
          <w:rFonts w:cstheme="minorHAnsi"/>
          <w:sz w:val="24"/>
          <w:szCs w:val="24"/>
        </w:rPr>
        <w:t xml:space="preserve"> whichever is the lower in December</w:t>
      </w:r>
      <w:r w:rsidR="00644303">
        <w:rPr>
          <w:rFonts w:cstheme="minorHAnsi"/>
          <w:sz w:val="24"/>
          <w:szCs w:val="24"/>
        </w:rPr>
        <w:t>.</w:t>
      </w:r>
      <w:r w:rsidRPr="00644303">
        <w:rPr>
          <w:rFonts w:cstheme="minorHAnsi"/>
          <w:sz w:val="24"/>
          <w:szCs w:val="24"/>
        </w:rPr>
        <w:t xml:space="preserve"> </w:t>
      </w:r>
    </w:p>
    <w:p w14:paraId="52AFE6B9" w14:textId="21026213" w:rsidR="00107FDB" w:rsidRDefault="00107FDB" w:rsidP="007F2366">
      <w:pPr>
        <w:pStyle w:val="ListParagraph"/>
        <w:numPr>
          <w:ilvl w:val="0"/>
          <w:numId w:val="34"/>
        </w:numPr>
        <w:jc w:val="both"/>
        <w:rPr>
          <w:rFonts w:cstheme="minorHAnsi"/>
          <w:sz w:val="24"/>
          <w:szCs w:val="24"/>
        </w:rPr>
      </w:pPr>
      <w:r w:rsidRPr="00644303">
        <w:rPr>
          <w:rFonts w:cstheme="minorHAnsi"/>
          <w:sz w:val="24"/>
          <w:szCs w:val="24"/>
        </w:rPr>
        <w:t>Deposit Limited to one month’s rent but service of notice of termination for rent arrears takes two months</w:t>
      </w:r>
      <w:r w:rsidR="00644303" w:rsidRPr="00644303">
        <w:rPr>
          <w:rFonts w:cstheme="minorHAnsi"/>
          <w:sz w:val="24"/>
          <w:szCs w:val="24"/>
        </w:rPr>
        <w:t>.</w:t>
      </w:r>
    </w:p>
    <w:p w14:paraId="73792D92" w14:textId="286737E3" w:rsidR="000C245A" w:rsidRPr="00644303" w:rsidRDefault="000C245A" w:rsidP="007F2366">
      <w:pPr>
        <w:pStyle w:val="ListParagraph"/>
        <w:numPr>
          <w:ilvl w:val="0"/>
          <w:numId w:val="34"/>
        </w:numPr>
        <w:jc w:val="both"/>
        <w:rPr>
          <w:rFonts w:cstheme="minorHAnsi"/>
          <w:sz w:val="24"/>
          <w:szCs w:val="24"/>
        </w:rPr>
      </w:pPr>
      <w:r>
        <w:rPr>
          <w:rFonts w:cstheme="minorHAnsi"/>
          <w:sz w:val="24"/>
          <w:szCs w:val="24"/>
        </w:rPr>
        <w:t xml:space="preserve">Changes were made to the rent review form, and it is now 12 pages in length. </w:t>
      </w:r>
    </w:p>
    <w:p w14:paraId="2CA450D5" w14:textId="77777777" w:rsidR="00644303" w:rsidRPr="00644303" w:rsidRDefault="00107FDB" w:rsidP="000A24E8">
      <w:pPr>
        <w:spacing w:after="0"/>
        <w:jc w:val="both"/>
        <w:rPr>
          <w:rFonts w:cstheme="minorHAnsi"/>
          <w:b/>
          <w:bCs/>
          <w:sz w:val="24"/>
          <w:szCs w:val="24"/>
        </w:rPr>
      </w:pPr>
      <w:r w:rsidRPr="00644303">
        <w:rPr>
          <w:rFonts w:cstheme="minorHAnsi"/>
          <w:b/>
          <w:bCs/>
          <w:sz w:val="24"/>
          <w:szCs w:val="24"/>
        </w:rPr>
        <w:t>2022 </w:t>
      </w:r>
    </w:p>
    <w:p w14:paraId="41332FE2" w14:textId="62596183" w:rsidR="00107FDB" w:rsidRPr="00644303" w:rsidRDefault="00107FDB" w:rsidP="007F2366">
      <w:pPr>
        <w:pStyle w:val="ListParagraph"/>
        <w:numPr>
          <w:ilvl w:val="0"/>
          <w:numId w:val="35"/>
        </w:numPr>
        <w:jc w:val="both"/>
        <w:rPr>
          <w:rFonts w:cstheme="minorHAnsi"/>
          <w:sz w:val="24"/>
          <w:szCs w:val="24"/>
        </w:rPr>
      </w:pPr>
      <w:r w:rsidRPr="00644303">
        <w:rPr>
          <w:rFonts w:cstheme="minorHAnsi"/>
          <w:sz w:val="24"/>
          <w:szCs w:val="24"/>
        </w:rPr>
        <w:t>Annual registration Introduced €40 per annum</w:t>
      </w:r>
      <w:r w:rsidR="00644303" w:rsidRPr="00644303">
        <w:rPr>
          <w:rFonts w:cstheme="minorHAnsi"/>
          <w:sz w:val="24"/>
          <w:szCs w:val="24"/>
        </w:rPr>
        <w:t>.</w:t>
      </w:r>
      <w:r w:rsidRPr="00644303">
        <w:rPr>
          <w:rFonts w:cstheme="minorHAnsi"/>
          <w:sz w:val="24"/>
          <w:szCs w:val="24"/>
        </w:rPr>
        <w:t xml:space="preserve"> </w:t>
      </w:r>
    </w:p>
    <w:p w14:paraId="63C0C16C" w14:textId="006FF6BD" w:rsidR="00107FDB" w:rsidRPr="00644303" w:rsidRDefault="00107FDB" w:rsidP="007F2366">
      <w:pPr>
        <w:pStyle w:val="ListParagraph"/>
        <w:numPr>
          <w:ilvl w:val="0"/>
          <w:numId w:val="35"/>
        </w:numPr>
        <w:jc w:val="both"/>
        <w:rPr>
          <w:rFonts w:cstheme="minorHAnsi"/>
          <w:sz w:val="24"/>
          <w:szCs w:val="24"/>
        </w:rPr>
      </w:pPr>
      <w:r w:rsidRPr="00644303">
        <w:rPr>
          <w:rFonts w:cstheme="minorHAnsi"/>
          <w:sz w:val="24"/>
          <w:szCs w:val="24"/>
        </w:rPr>
        <w:t>Late registration penalties - €10 per month no end amount – unfair and disproportionate</w:t>
      </w:r>
      <w:r w:rsidR="00644303" w:rsidRPr="00644303">
        <w:rPr>
          <w:rFonts w:cstheme="minorHAnsi"/>
          <w:sz w:val="24"/>
          <w:szCs w:val="24"/>
        </w:rPr>
        <w:t>.</w:t>
      </w:r>
    </w:p>
    <w:p w14:paraId="74C941A5" w14:textId="53495D66" w:rsidR="00107FDB" w:rsidRPr="00644303" w:rsidRDefault="00107FDB" w:rsidP="007F2366">
      <w:pPr>
        <w:pStyle w:val="ListParagraph"/>
        <w:numPr>
          <w:ilvl w:val="0"/>
          <w:numId w:val="35"/>
        </w:numPr>
        <w:jc w:val="both"/>
        <w:rPr>
          <w:rFonts w:cstheme="minorHAnsi"/>
          <w:b/>
          <w:bCs/>
          <w:sz w:val="24"/>
          <w:szCs w:val="24"/>
        </w:rPr>
      </w:pPr>
      <w:r w:rsidRPr="00644303">
        <w:rPr>
          <w:rFonts w:cstheme="minorHAnsi"/>
          <w:sz w:val="24"/>
          <w:szCs w:val="24"/>
        </w:rPr>
        <w:t>Indefinite tenancies commence June – tenants can remain unless selling/or need for a member of family or substantial refurbishment</w:t>
      </w:r>
      <w:r w:rsidR="00644303" w:rsidRPr="00644303">
        <w:rPr>
          <w:rFonts w:cstheme="minorHAnsi"/>
          <w:sz w:val="24"/>
          <w:szCs w:val="24"/>
        </w:rPr>
        <w:t xml:space="preserve">. </w:t>
      </w:r>
    </w:p>
    <w:p w14:paraId="2A4E0F6B" w14:textId="738161A0" w:rsidR="0009638E" w:rsidRDefault="00644303" w:rsidP="007F2366">
      <w:pPr>
        <w:jc w:val="both"/>
        <w:rPr>
          <w:sz w:val="24"/>
          <w:szCs w:val="24"/>
        </w:rPr>
      </w:pPr>
      <w:r>
        <w:rPr>
          <w:sz w:val="24"/>
          <w:szCs w:val="24"/>
        </w:rPr>
        <w:lastRenderedPageBreak/>
        <w:t xml:space="preserve">The foregoing provides detail of the rapidly changing tax and regulatory environment facing private landlords. This creates huge uncertainty for private landlords and militates against any semblance of long-term financial planning and management. The net result is that private landlords are exiting the market and </w:t>
      </w:r>
      <w:r w:rsidR="00E27DC6">
        <w:rPr>
          <w:sz w:val="24"/>
          <w:szCs w:val="24"/>
        </w:rPr>
        <w:t xml:space="preserve">those seeking to rent properties are the ultimate losers. </w:t>
      </w:r>
      <w:r w:rsidR="0009638E">
        <w:rPr>
          <w:sz w:val="24"/>
          <w:szCs w:val="24"/>
        </w:rPr>
        <w:br w:type="page"/>
      </w:r>
    </w:p>
    <w:p w14:paraId="62866FC3" w14:textId="4514E1DB" w:rsidR="0072229E" w:rsidRDefault="0072229E" w:rsidP="007F2366">
      <w:pPr>
        <w:pStyle w:val="Heading1"/>
        <w:jc w:val="both"/>
      </w:pPr>
      <w:bookmarkStart w:id="10" w:name="_Toc103266212"/>
      <w:r>
        <w:lastRenderedPageBreak/>
        <w:t>CONCLUSIONS</w:t>
      </w:r>
      <w:bookmarkEnd w:id="10"/>
    </w:p>
    <w:p w14:paraId="4D295D4F" w14:textId="77777777" w:rsidR="001B0744" w:rsidRPr="001B0744" w:rsidRDefault="001B0744" w:rsidP="007F2366">
      <w:pPr>
        <w:jc w:val="both"/>
      </w:pPr>
    </w:p>
    <w:p w14:paraId="09A3D589" w14:textId="77777777" w:rsidR="001B0744" w:rsidRDefault="0009638E" w:rsidP="007F2366">
      <w:pPr>
        <w:jc w:val="both"/>
        <w:rPr>
          <w:sz w:val="24"/>
          <w:szCs w:val="24"/>
        </w:rPr>
      </w:pPr>
      <w:r>
        <w:rPr>
          <w:sz w:val="24"/>
          <w:szCs w:val="24"/>
        </w:rPr>
        <w:t xml:space="preserve">It is clear that Ireland has a significant housing and rental crisis. This is manifested in a significant shortage of </w:t>
      </w:r>
      <w:r w:rsidR="001B0744">
        <w:rPr>
          <w:sz w:val="24"/>
          <w:szCs w:val="24"/>
        </w:rPr>
        <w:t>housing for owner-occupier and rental purposes. House prices and rents are continuing to escalate at a rapid pace and this is creating serious social, economic and political difficulties.</w:t>
      </w:r>
    </w:p>
    <w:p w14:paraId="4CBBEED3" w14:textId="77777777" w:rsidR="001B0744" w:rsidRDefault="001B0744" w:rsidP="007F2366">
      <w:pPr>
        <w:jc w:val="both"/>
        <w:rPr>
          <w:sz w:val="24"/>
          <w:szCs w:val="24"/>
        </w:rPr>
      </w:pPr>
      <w:r>
        <w:rPr>
          <w:sz w:val="24"/>
          <w:szCs w:val="24"/>
        </w:rPr>
        <w:t xml:space="preserve"> For Ireland to remain competitive in general, but particularly against a background of significant external competitive challenge for mobile foreign direct investment, it is essential that there is a ready availability of affordable and suitable accommodation for owner-occupier and rental purposes. This is not the situation at the moment.</w:t>
      </w:r>
    </w:p>
    <w:p w14:paraId="1E293843" w14:textId="458B26C5" w:rsidR="00D614B5" w:rsidRDefault="001B0744" w:rsidP="007F2366">
      <w:pPr>
        <w:jc w:val="both"/>
        <w:rPr>
          <w:sz w:val="24"/>
          <w:szCs w:val="24"/>
        </w:rPr>
      </w:pPr>
      <w:r>
        <w:rPr>
          <w:sz w:val="24"/>
          <w:szCs w:val="24"/>
        </w:rPr>
        <w:t>While institutional landlords are still very active in the rental market, there is a</w:t>
      </w:r>
      <w:r w:rsidR="00D614B5">
        <w:rPr>
          <w:sz w:val="24"/>
          <w:szCs w:val="24"/>
        </w:rPr>
        <w:t xml:space="preserve">n ongoing significant trend reduction in the number of private landlords in the market. This is a particular problem for rental markets where institutional landlords are not active. </w:t>
      </w:r>
    </w:p>
    <w:p w14:paraId="1AD34548" w14:textId="1119BFB3" w:rsidR="00D614B5" w:rsidRDefault="00D614B5" w:rsidP="007F2366">
      <w:pPr>
        <w:jc w:val="both"/>
        <w:rPr>
          <w:sz w:val="24"/>
          <w:szCs w:val="24"/>
        </w:rPr>
      </w:pPr>
      <w:r>
        <w:rPr>
          <w:sz w:val="24"/>
          <w:szCs w:val="24"/>
        </w:rPr>
        <w:t>It is clear from anecdotal and survey data why private landlords are exiting the market. The factors include:</w:t>
      </w:r>
    </w:p>
    <w:p w14:paraId="23DBE6BC" w14:textId="17FAA7DF" w:rsidR="00D614B5" w:rsidRPr="00150B2F" w:rsidRDefault="00D614B5" w:rsidP="007F2366">
      <w:pPr>
        <w:pStyle w:val="ListParagraph"/>
        <w:numPr>
          <w:ilvl w:val="0"/>
          <w:numId w:val="36"/>
        </w:numPr>
        <w:jc w:val="both"/>
        <w:rPr>
          <w:sz w:val="24"/>
          <w:szCs w:val="24"/>
        </w:rPr>
      </w:pPr>
      <w:r w:rsidRPr="00150B2F">
        <w:rPr>
          <w:sz w:val="24"/>
          <w:szCs w:val="24"/>
        </w:rPr>
        <w:t xml:space="preserve">Rent Pressure Zones have not succeeded in controlling rents and have had the unintended consequence of preventing rents from falling and reducing the supply of rental properties in the market. </w:t>
      </w:r>
    </w:p>
    <w:p w14:paraId="468F244D" w14:textId="6921DBAE" w:rsidR="0009638E" w:rsidRPr="00150B2F" w:rsidRDefault="00186D57" w:rsidP="007F2366">
      <w:pPr>
        <w:pStyle w:val="ListParagraph"/>
        <w:numPr>
          <w:ilvl w:val="0"/>
          <w:numId w:val="36"/>
        </w:numPr>
        <w:jc w:val="both"/>
        <w:rPr>
          <w:sz w:val="24"/>
          <w:szCs w:val="24"/>
        </w:rPr>
      </w:pPr>
      <w:r w:rsidRPr="00150B2F">
        <w:rPr>
          <w:sz w:val="24"/>
          <w:szCs w:val="24"/>
        </w:rPr>
        <w:t>The taxation treatment of private landlords compared to institutional landlords acts a</w:t>
      </w:r>
      <w:r w:rsidR="00150B2F">
        <w:rPr>
          <w:sz w:val="24"/>
          <w:szCs w:val="24"/>
        </w:rPr>
        <w:t>s</w:t>
      </w:r>
      <w:r w:rsidRPr="00150B2F">
        <w:rPr>
          <w:sz w:val="24"/>
          <w:szCs w:val="24"/>
        </w:rPr>
        <w:t xml:space="preserve"> a serious disincentive for private landlord participation in the market. </w:t>
      </w:r>
      <w:r w:rsidR="00E27DC6" w:rsidRPr="00150B2F">
        <w:rPr>
          <w:sz w:val="24"/>
          <w:szCs w:val="24"/>
        </w:rPr>
        <w:t>Private landlords need to be treated fairly as they are a vital component of the rental property market.</w:t>
      </w:r>
    </w:p>
    <w:p w14:paraId="32D2DA37" w14:textId="77777777" w:rsidR="00150B2F" w:rsidRPr="00150B2F" w:rsidRDefault="00E27DC6" w:rsidP="007F2366">
      <w:pPr>
        <w:pStyle w:val="ListParagraph"/>
        <w:numPr>
          <w:ilvl w:val="0"/>
          <w:numId w:val="36"/>
        </w:numPr>
        <w:jc w:val="both"/>
        <w:rPr>
          <w:sz w:val="24"/>
          <w:szCs w:val="24"/>
        </w:rPr>
      </w:pPr>
      <w:r w:rsidRPr="00150B2F">
        <w:rPr>
          <w:sz w:val="24"/>
          <w:szCs w:val="24"/>
        </w:rPr>
        <w:t xml:space="preserve">The regulatory and taxation environment facing private landlords is constantly changing. </w:t>
      </w:r>
      <w:r w:rsidR="00150B2F" w:rsidRPr="00150B2F">
        <w:rPr>
          <w:sz w:val="24"/>
          <w:szCs w:val="24"/>
        </w:rPr>
        <w:t xml:space="preserve">There is no certainty or continuity and this prevents private landlords from engaging in long-term financial planning and management. </w:t>
      </w:r>
    </w:p>
    <w:p w14:paraId="219D66CD" w14:textId="77777777" w:rsidR="00150B2F" w:rsidRDefault="00150B2F" w:rsidP="007F2366">
      <w:pPr>
        <w:jc w:val="both"/>
        <w:rPr>
          <w:sz w:val="24"/>
          <w:szCs w:val="24"/>
        </w:rPr>
      </w:pPr>
      <w:r>
        <w:rPr>
          <w:sz w:val="24"/>
          <w:szCs w:val="24"/>
        </w:rPr>
        <w:t xml:space="preserve">The net result of these factors is that private landlords are exiting the market and those seeking to rent properties are the ultimate losers. This is not good for society, the economy or the political system. There has to be a move away from policies that discriminate against private landlords and which give them little incentive to participate in the rental property market. </w:t>
      </w:r>
    </w:p>
    <w:p w14:paraId="21F7D79F" w14:textId="359ABFB2" w:rsidR="00150B2F" w:rsidRDefault="00150B2F" w:rsidP="007F2366">
      <w:pPr>
        <w:jc w:val="both"/>
        <w:rPr>
          <w:sz w:val="24"/>
          <w:szCs w:val="24"/>
        </w:rPr>
      </w:pPr>
      <w:r>
        <w:rPr>
          <w:sz w:val="24"/>
          <w:szCs w:val="24"/>
        </w:rPr>
        <w:t xml:space="preserve">If private landlords continue to exit the market, the situation is going to get worse. </w:t>
      </w:r>
      <w:r w:rsidR="000C245A">
        <w:rPr>
          <w:sz w:val="24"/>
          <w:szCs w:val="24"/>
        </w:rPr>
        <w:t xml:space="preserve">It is essential that changes are introduced to entice smaller private landlords back into the market. Such changes could include amendments to the RPZs, or their abolition; fairer tax treatment for private landlords; </w:t>
      </w:r>
      <w:r w:rsidR="00284684">
        <w:rPr>
          <w:sz w:val="24"/>
          <w:szCs w:val="24"/>
        </w:rPr>
        <w:t xml:space="preserve">the RTB should become more balanced in its treatment of landlords, as there is a strong perception amongst private landlords that the RTB is heavily biased towards tenants and against landlords; and it is totally unacceptable that while landlords are facing increasingly higher costs, they are experiencing real declines in rents due to the current high rate of inflation. </w:t>
      </w:r>
    </w:p>
    <w:p w14:paraId="43B2ECAD" w14:textId="197D310B" w:rsidR="003C242F" w:rsidRDefault="003C242F" w:rsidP="007F2366">
      <w:pPr>
        <w:jc w:val="both"/>
        <w:rPr>
          <w:sz w:val="24"/>
          <w:szCs w:val="24"/>
        </w:rPr>
      </w:pPr>
      <w:r>
        <w:rPr>
          <w:sz w:val="24"/>
          <w:szCs w:val="24"/>
        </w:rPr>
        <w:lastRenderedPageBreak/>
        <w:t xml:space="preserve">The most effective way to address the rental market and achieve rent moderation is to encourage more private landlords into the market. The incentives to stay in the market or to enter the market are not particularly compelling at the moment. </w:t>
      </w:r>
    </w:p>
    <w:p w14:paraId="72CF37A1" w14:textId="12960404" w:rsidR="0026351F" w:rsidRDefault="0026351F" w:rsidP="007F2366">
      <w:pPr>
        <w:jc w:val="both"/>
        <w:rPr>
          <w:sz w:val="24"/>
          <w:szCs w:val="24"/>
        </w:rPr>
      </w:pPr>
    </w:p>
    <w:p w14:paraId="2024CFEB" w14:textId="3F492245" w:rsidR="0026351F" w:rsidRDefault="0026351F">
      <w:pPr>
        <w:rPr>
          <w:sz w:val="24"/>
          <w:szCs w:val="24"/>
        </w:rPr>
      </w:pPr>
      <w:r>
        <w:rPr>
          <w:sz w:val="24"/>
          <w:szCs w:val="24"/>
        </w:rPr>
        <w:br w:type="page"/>
      </w:r>
    </w:p>
    <w:p w14:paraId="73B477DF" w14:textId="24EB18AA" w:rsidR="0026351F" w:rsidRDefault="0026351F" w:rsidP="0026351F">
      <w:pPr>
        <w:pStyle w:val="Heading1"/>
      </w:pPr>
      <w:bookmarkStart w:id="11" w:name="_Toc103266213"/>
      <w:r>
        <w:lastRenderedPageBreak/>
        <w:t>APPENDIX 1: EXAMPLE OF RENTAL TAX ACCOUNT</w:t>
      </w:r>
      <w:bookmarkEnd w:id="11"/>
    </w:p>
    <w:p w14:paraId="6A1DF33E" w14:textId="77777777" w:rsidR="0026351F" w:rsidRPr="0026351F" w:rsidRDefault="0026351F" w:rsidP="0026351F"/>
    <w:p w14:paraId="29716A82" w14:textId="77777777" w:rsidR="0026351F" w:rsidRPr="0026351F" w:rsidRDefault="0026351F" w:rsidP="0026351F">
      <w:pPr>
        <w:spacing w:after="0" w:line="360" w:lineRule="auto"/>
        <w:jc w:val="center"/>
        <w:rPr>
          <w:rFonts w:asciiTheme="majorHAnsi" w:eastAsiaTheme="majorEastAsia" w:hAnsiTheme="majorHAnsi" w:cstheme="majorBidi"/>
          <w:b/>
          <w:i/>
          <w:iCs/>
          <w:sz w:val="28"/>
          <w:szCs w:val="28"/>
          <w:lang w:eastAsia="en-IE"/>
        </w:rPr>
      </w:pPr>
      <w:r w:rsidRPr="0026351F">
        <w:rPr>
          <w:rFonts w:asciiTheme="majorHAnsi" w:eastAsiaTheme="majorEastAsia" w:hAnsiTheme="majorHAnsi" w:cstheme="majorBidi"/>
          <w:b/>
          <w:i/>
          <w:iCs/>
          <w:sz w:val="28"/>
          <w:szCs w:val="28"/>
          <w:lang w:eastAsia="en-IE"/>
        </w:rPr>
        <w:t xml:space="preserve">Assume Investor purchased property for €285,000 and borrows €200,000 at 4.5%pa over 20 years </w:t>
      </w:r>
    </w:p>
    <w:tbl>
      <w:tblPr>
        <w:tblStyle w:val="GridTable4-Accent13"/>
        <w:tblW w:w="8790" w:type="dxa"/>
        <w:tblLook w:val="04A0" w:firstRow="1" w:lastRow="0" w:firstColumn="1" w:lastColumn="0" w:noHBand="0" w:noVBand="1"/>
      </w:tblPr>
      <w:tblGrid>
        <w:gridCol w:w="1848"/>
        <w:gridCol w:w="222"/>
        <w:gridCol w:w="960"/>
        <w:gridCol w:w="960"/>
        <w:gridCol w:w="960"/>
        <w:gridCol w:w="960"/>
        <w:gridCol w:w="960"/>
        <w:gridCol w:w="960"/>
        <w:gridCol w:w="960"/>
      </w:tblGrid>
      <w:tr w:rsidR="0026351F" w:rsidRPr="0026351F" w14:paraId="5340867E" w14:textId="77777777" w:rsidTr="0026351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7F0FC4C8" w14:textId="77777777" w:rsidR="0026351F" w:rsidRPr="0026351F" w:rsidRDefault="0026351F" w:rsidP="0026351F">
            <w:pPr>
              <w:spacing w:line="276" w:lineRule="auto"/>
              <w:rPr>
                <w:rFonts w:ascii="Times New Roman" w:eastAsia="Times New Roman" w:hAnsi="Times New Roman" w:cs="Times New Roman"/>
                <w:sz w:val="24"/>
                <w:szCs w:val="24"/>
              </w:rPr>
            </w:pPr>
            <w:r w:rsidRPr="0026351F">
              <w:rPr>
                <w:rFonts w:ascii="Times New Roman" w:eastAsia="Times New Roman" w:hAnsi="Times New Roman" w:cs="Times New Roman"/>
                <w:sz w:val="24"/>
                <w:szCs w:val="24"/>
              </w:rPr>
              <w:t>Cash flow</w:t>
            </w:r>
          </w:p>
        </w:tc>
        <w:tc>
          <w:tcPr>
            <w:tcW w:w="960" w:type="dxa"/>
            <w:noWrap/>
            <w:hideMark/>
          </w:tcPr>
          <w:p w14:paraId="1AFD1868" w14:textId="77777777" w:rsidR="0026351F" w:rsidRPr="0026351F" w:rsidRDefault="0026351F" w:rsidP="0026351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60" w:type="dxa"/>
            <w:noWrap/>
            <w:hideMark/>
          </w:tcPr>
          <w:p w14:paraId="7A9E090C" w14:textId="77777777" w:rsidR="0026351F" w:rsidRPr="0026351F" w:rsidRDefault="0026351F" w:rsidP="0026351F">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1BCE0533" w14:textId="77777777" w:rsidR="0026351F" w:rsidRPr="0026351F" w:rsidRDefault="0026351F" w:rsidP="0026351F">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49AA4879" w14:textId="77777777" w:rsidR="0026351F" w:rsidRPr="0026351F" w:rsidRDefault="0026351F" w:rsidP="0026351F">
            <w:pPr>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60" w:type="dxa"/>
            <w:noWrap/>
            <w:hideMark/>
          </w:tcPr>
          <w:p w14:paraId="24AB26B8" w14:textId="77777777" w:rsidR="0026351F" w:rsidRPr="0026351F" w:rsidRDefault="0026351F" w:rsidP="0026351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60" w:type="dxa"/>
            <w:noWrap/>
            <w:hideMark/>
          </w:tcPr>
          <w:p w14:paraId="54F935BD" w14:textId="77777777" w:rsidR="0026351F" w:rsidRPr="0026351F" w:rsidRDefault="0026351F" w:rsidP="0026351F">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778F65C7" w14:textId="77777777" w:rsidR="0026351F" w:rsidRPr="0026351F" w:rsidRDefault="0026351F" w:rsidP="0026351F">
            <w:pPr>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26351F" w:rsidRPr="0026351F" w14:paraId="7559954F"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6D746BB5" w14:textId="77777777" w:rsidR="0026351F" w:rsidRPr="0026351F" w:rsidRDefault="0026351F" w:rsidP="0026351F">
            <w:pPr>
              <w:rPr>
                <w:rFonts w:ascii="Times New Roman" w:eastAsia="Times New Roman" w:hAnsi="Times New Roman" w:cs="Times New Roman"/>
                <w:color w:val="000000"/>
                <w:sz w:val="24"/>
                <w:szCs w:val="24"/>
              </w:rPr>
            </w:pPr>
          </w:p>
        </w:tc>
        <w:tc>
          <w:tcPr>
            <w:tcW w:w="222" w:type="dxa"/>
            <w:noWrap/>
            <w:hideMark/>
          </w:tcPr>
          <w:p w14:paraId="2654FA16"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250AF73C"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30BB7916"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232114FD"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472EF923"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70189BA3"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7B17B9F1"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58454AF6"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r>
      <w:tr w:rsidR="0026351F" w:rsidRPr="0026351F" w14:paraId="45566CAE"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08C1DEA8"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Rental Income</w:t>
            </w:r>
          </w:p>
        </w:tc>
        <w:tc>
          <w:tcPr>
            <w:tcW w:w="960" w:type="dxa"/>
            <w:noWrap/>
            <w:hideMark/>
          </w:tcPr>
          <w:p w14:paraId="10877653"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37D316D5"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381FCA90"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36AAC058"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18,000</w:t>
            </w:r>
          </w:p>
        </w:tc>
        <w:tc>
          <w:tcPr>
            <w:tcW w:w="960" w:type="dxa"/>
            <w:noWrap/>
            <w:hideMark/>
          </w:tcPr>
          <w:p w14:paraId="4FA1B520"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09AE7F92"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0660A995"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0D0D2A28"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1F9427DA" w14:textId="77777777" w:rsidR="0026351F" w:rsidRPr="0026351F" w:rsidRDefault="0026351F" w:rsidP="0026351F">
            <w:pPr>
              <w:spacing w:line="276" w:lineRule="auto"/>
              <w:rPr>
                <w:rFonts w:ascii="Times New Roman" w:eastAsia="Times New Roman" w:hAnsi="Times New Roman" w:cs="Times New Roman"/>
                <w:i/>
                <w:iCs/>
                <w:sz w:val="20"/>
                <w:szCs w:val="20"/>
              </w:rPr>
            </w:pPr>
            <w:r w:rsidRPr="0026351F">
              <w:rPr>
                <w:rFonts w:ascii="Times New Roman" w:eastAsia="Times New Roman" w:hAnsi="Times New Roman" w:cs="Times New Roman"/>
                <w:i/>
                <w:iCs/>
                <w:sz w:val="20"/>
                <w:szCs w:val="20"/>
              </w:rPr>
              <w:t>Less outgoings</w:t>
            </w:r>
          </w:p>
        </w:tc>
        <w:tc>
          <w:tcPr>
            <w:tcW w:w="960" w:type="dxa"/>
            <w:noWrap/>
            <w:hideMark/>
          </w:tcPr>
          <w:p w14:paraId="11C9AB78"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
        </w:tc>
        <w:tc>
          <w:tcPr>
            <w:tcW w:w="960" w:type="dxa"/>
            <w:noWrap/>
            <w:hideMark/>
          </w:tcPr>
          <w:p w14:paraId="00C3C2D6"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71162D9B"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7AE09768"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151D5F27"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22D82413"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58ECBCA0"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r>
      <w:tr w:rsidR="0026351F" w:rsidRPr="0026351F" w14:paraId="2B6C82B3"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4D1706D0"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Capital repayments</w:t>
            </w:r>
          </w:p>
        </w:tc>
        <w:tc>
          <w:tcPr>
            <w:tcW w:w="960" w:type="dxa"/>
            <w:noWrap/>
            <w:hideMark/>
          </w:tcPr>
          <w:p w14:paraId="076D41F1"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05876F01"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37BA3289"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(6,313)</w:t>
            </w:r>
          </w:p>
        </w:tc>
        <w:tc>
          <w:tcPr>
            <w:tcW w:w="960" w:type="dxa"/>
            <w:noWrap/>
            <w:hideMark/>
          </w:tcPr>
          <w:p w14:paraId="7D317BF2"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6E6CEC5F"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63B4E348"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2D803B37"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3E9F6B60"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7CDEDF12"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Interest repayments</w:t>
            </w:r>
          </w:p>
        </w:tc>
        <w:tc>
          <w:tcPr>
            <w:tcW w:w="960" w:type="dxa"/>
            <w:noWrap/>
            <w:hideMark/>
          </w:tcPr>
          <w:p w14:paraId="0D20B1C6"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3A50B2B3"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44E45897"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(8,870)</w:t>
            </w:r>
          </w:p>
        </w:tc>
        <w:tc>
          <w:tcPr>
            <w:tcW w:w="960" w:type="dxa"/>
            <w:noWrap/>
            <w:hideMark/>
          </w:tcPr>
          <w:p w14:paraId="07277159"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0F342AAB"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5F559299"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70E5E56D"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5B06BEC6"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04E7278E"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Local Property tax</w:t>
            </w:r>
          </w:p>
        </w:tc>
        <w:tc>
          <w:tcPr>
            <w:tcW w:w="960" w:type="dxa"/>
            <w:noWrap/>
            <w:hideMark/>
          </w:tcPr>
          <w:p w14:paraId="32E538B8"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1EBDC549"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71463E35"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(405)</w:t>
            </w:r>
          </w:p>
        </w:tc>
        <w:tc>
          <w:tcPr>
            <w:tcW w:w="960" w:type="dxa"/>
            <w:noWrap/>
            <w:hideMark/>
          </w:tcPr>
          <w:p w14:paraId="2ECD7C67"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1C2A4CB8"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1DCDE565"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7EE61028"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1983D3B7"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2CD18FAB"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RTB registration</w:t>
            </w:r>
          </w:p>
        </w:tc>
        <w:tc>
          <w:tcPr>
            <w:tcW w:w="960" w:type="dxa"/>
            <w:noWrap/>
            <w:hideMark/>
          </w:tcPr>
          <w:p w14:paraId="7E814F83"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41D43DDD"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06562912"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(90)</w:t>
            </w:r>
          </w:p>
        </w:tc>
        <w:tc>
          <w:tcPr>
            <w:tcW w:w="960" w:type="dxa"/>
            <w:noWrap/>
            <w:hideMark/>
          </w:tcPr>
          <w:p w14:paraId="32724C97"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65F10768"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6AB616B7"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669266EF"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28FF479E"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715DD4BE"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 xml:space="preserve">Repairs and </w:t>
            </w:r>
            <w:proofErr w:type="spellStart"/>
            <w:r w:rsidRPr="0026351F">
              <w:rPr>
                <w:rFonts w:ascii="Times New Roman" w:eastAsia="Times New Roman" w:hAnsi="Times New Roman" w:cs="Times New Roman"/>
                <w:sz w:val="20"/>
                <w:szCs w:val="20"/>
              </w:rPr>
              <w:t>Maint</w:t>
            </w:r>
            <w:proofErr w:type="spellEnd"/>
          </w:p>
        </w:tc>
        <w:tc>
          <w:tcPr>
            <w:tcW w:w="960" w:type="dxa"/>
            <w:noWrap/>
            <w:hideMark/>
          </w:tcPr>
          <w:p w14:paraId="37B75EE1"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10BFC046"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273FEB70"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(450)</w:t>
            </w:r>
          </w:p>
        </w:tc>
        <w:tc>
          <w:tcPr>
            <w:tcW w:w="960" w:type="dxa"/>
            <w:noWrap/>
            <w:hideMark/>
          </w:tcPr>
          <w:p w14:paraId="5A37EF65"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2EE7C903"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0D175155"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5297EA2B"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3CEE3B7F"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646B43A0"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 xml:space="preserve">Insurance </w:t>
            </w:r>
          </w:p>
        </w:tc>
        <w:tc>
          <w:tcPr>
            <w:tcW w:w="222" w:type="dxa"/>
            <w:noWrap/>
            <w:hideMark/>
          </w:tcPr>
          <w:p w14:paraId="020E390E"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76AF7F16"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45AB6741"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5BA5078C"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(450)</w:t>
            </w:r>
          </w:p>
        </w:tc>
        <w:tc>
          <w:tcPr>
            <w:tcW w:w="960" w:type="dxa"/>
            <w:noWrap/>
            <w:hideMark/>
          </w:tcPr>
          <w:p w14:paraId="651F6504"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00733E85"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603235A7"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0141307F"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3997C944"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1A6D5C4B"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Service charges</w:t>
            </w:r>
          </w:p>
        </w:tc>
        <w:tc>
          <w:tcPr>
            <w:tcW w:w="960" w:type="dxa"/>
            <w:noWrap/>
            <w:hideMark/>
          </w:tcPr>
          <w:p w14:paraId="707A706D"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2437F4DE"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11B9B873"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(1,200)</w:t>
            </w:r>
          </w:p>
        </w:tc>
        <w:tc>
          <w:tcPr>
            <w:tcW w:w="960" w:type="dxa"/>
            <w:noWrap/>
            <w:hideMark/>
          </w:tcPr>
          <w:p w14:paraId="1CE5D86A"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38AC1CAC"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3DD4B4DF"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242BA64E"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0670A80C"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0F1101C2"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Accountants</w:t>
            </w:r>
          </w:p>
        </w:tc>
        <w:tc>
          <w:tcPr>
            <w:tcW w:w="960" w:type="dxa"/>
            <w:noWrap/>
            <w:hideMark/>
          </w:tcPr>
          <w:p w14:paraId="1A7D30F7"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4FCC4421"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6A5E7C01"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(500)</w:t>
            </w:r>
          </w:p>
        </w:tc>
        <w:tc>
          <w:tcPr>
            <w:tcW w:w="960" w:type="dxa"/>
            <w:noWrap/>
            <w:hideMark/>
          </w:tcPr>
          <w:p w14:paraId="45C82048"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298B55E8"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616B6066"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6F5E0EF4"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7E881E00"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2AEB7C26"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Gardening</w:t>
            </w:r>
          </w:p>
        </w:tc>
        <w:tc>
          <w:tcPr>
            <w:tcW w:w="222" w:type="dxa"/>
            <w:noWrap/>
            <w:hideMark/>
          </w:tcPr>
          <w:p w14:paraId="27068297"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3FCCAAF4"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29C73326"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5A0210D8"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(520)</w:t>
            </w:r>
          </w:p>
        </w:tc>
        <w:tc>
          <w:tcPr>
            <w:tcW w:w="960" w:type="dxa"/>
            <w:noWrap/>
            <w:hideMark/>
          </w:tcPr>
          <w:p w14:paraId="1C4D18B8"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54BA140C"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019FFBF6"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7191B98C"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44DD64EF"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46F3F231"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Letting fee</w:t>
            </w:r>
          </w:p>
        </w:tc>
        <w:tc>
          <w:tcPr>
            <w:tcW w:w="222" w:type="dxa"/>
            <w:noWrap/>
            <w:hideMark/>
          </w:tcPr>
          <w:p w14:paraId="179F15F3"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4D19BE14"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6F9DE4F2"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17651665"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(900)</w:t>
            </w:r>
          </w:p>
        </w:tc>
        <w:tc>
          <w:tcPr>
            <w:tcW w:w="960" w:type="dxa"/>
            <w:noWrap/>
            <w:hideMark/>
          </w:tcPr>
          <w:p w14:paraId="1C18EB8C"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03111EF3"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42DCEF86"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30DDB7B5"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51909388"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7C75F7EB"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Management fee</w:t>
            </w:r>
          </w:p>
        </w:tc>
        <w:tc>
          <w:tcPr>
            <w:tcW w:w="960" w:type="dxa"/>
            <w:noWrap/>
            <w:hideMark/>
          </w:tcPr>
          <w:p w14:paraId="54B4DD11"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3991C831"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28B9D2AC"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(900)</w:t>
            </w:r>
          </w:p>
        </w:tc>
        <w:tc>
          <w:tcPr>
            <w:tcW w:w="960" w:type="dxa"/>
            <w:noWrap/>
            <w:hideMark/>
          </w:tcPr>
          <w:p w14:paraId="7BD3E646"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0B360AD0"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334978F2"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24B1BC46"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4D1E0946"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3278BAE6"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Income tax charge</w:t>
            </w:r>
          </w:p>
        </w:tc>
        <w:tc>
          <w:tcPr>
            <w:tcW w:w="960" w:type="dxa"/>
            <w:noWrap/>
            <w:hideMark/>
          </w:tcPr>
          <w:p w14:paraId="5CA6D202"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06D3895F"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7C49B18A"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(4,370)</w:t>
            </w:r>
          </w:p>
        </w:tc>
        <w:tc>
          <w:tcPr>
            <w:tcW w:w="960" w:type="dxa"/>
            <w:noWrap/>
            <w:hideMark/>
          </w:tcPr>
          <w:p w14:paraId="322CE588"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7F6E698B"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49D40337"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658C296C"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6D02EE99"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145691A2"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USC - 7%</w:t>
            </w:r>
          </w:p>
        </w:tc>
        <w:tc>
          <w:tcPr>
            <w:tcW w:w="222" w:type="dxa"/>
            <w:noWrap/>
            <w:hideMark/>
          </w:tcPr>
          <w:p w14:paraId="581DA71A"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04A07394"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1A7EB428"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09D22FA3"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(461)</w:t>
            </w:r>
          </w:p>
        </w:tc>
        <w:tc>
          <w:tcPr>
            <w:tcW w:w="960" w:type="dxa"/>
            <w:noWrap/>
            <w:hideMark/>
          </w:tcPr>
          <w:p w14:paraId="5F7A302B"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6D96C50C"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4C125EFC"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77D2CCAD"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71781BBF" w14:textId="77777777" w:rsidTr="00E904A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48" w:type="dxa"/>
            <w:noWrap/>
            <w:hideMark/>
          </w:tcPr>
          <w:p w14:paraId="24885733"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PRSI - 4%</w:t>
            </w:r>
          </w:p>
        </w:tc>
        <w:tc>
          <w:tcPr>
            <w:tcW w:w="222" w:type="dxa"/>
            <w:noWrap/>
            <w:hideMark/>
          </w:tcPr>
          <w:p w14:paraId="1D85FD7F"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385AACEE"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09A8FE5B"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33329F02"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(263)</w:t>
            </w:r>
          </w:p>
        </w:tc>
        <w:tc>
          <w:tcPr>
            <w:tcW w:w="960" w:type="dxa"/>
            <w:noWrap/>
            <w:hideMark/>
          </w:tcPr>
          <w:p w14:paraId="380AE12D"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146D3FD6"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3E36A8F8"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51FCFCB9"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1A1396E2"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27CD66B9" w14:textId="77777777" w:rsidR="0026351F" w:rsidRPr="0026351F" w:rsidRDefault="0026351F" w:rsidP="0026351F">
            <w:pPr>
              <w:spacing w:line="276" w:lineRule="auto"/>
              <w:rPr>
                <w:sz w:val="20"/>
                <w:szCs w:val="20"/>
                <w:lang w:eastAsia="en-IE"/>
              </w:rPr>
            </w:pPr>
          </w:p>
        </w:tc>
        <w:tc>
          <w:tcPr>
            <w:tcW w:w="222" w:type="dxa"/>
            <w:noWrap/>
            <w:hideMark/>
          </w:tcPr>
          <w:p w14:paraId="0DEA9642"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7B932DA7"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584B4B0A"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5B8AA3B6"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70B7583A"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(23,958)</w:t>
            </w:r>
          </w:p>
        </w:tc>
        <w:tc>
          <w:tcPr>
            <w:tcW w:w="960" w:type="dxa"/>
            <w:noWrap/>
            <w:hideMark/>
          </w:tcPr>
          <w:p w14:paraId="44C0A47A"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2D72BC74"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25B489B4"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19ED0D85" w14:textId="77777777" w:rsidTr="002635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7C90236E"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Net Shortfall</w:t>
            </w:r>
          </w:p>
        </w:tc>
        <w:tc>
          <w:tcPr>
            <w:tcW w:w="960" w:type="dxa"/>
            <w:noWrap/>
            <w:hideMark/>
          </w:tcPr>
          <w:p w14:paraId="40AC302B"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960" w:type="dxa"/>
            <w:noWrap/>
            <w:hideMark/>
          </w:tcPr>
          <w:p w14:paraId="28C0A92E"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02270F19"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2F7AED34"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26351F">
              <w:rPr>
                <w:rFonts w:ascii="Times New Roman" w:eastAsia="Times New Roman" w:hAnsi="Times New Roman" w:cs="Times New Roman"/>
                <w:b/>
                <w:bCs/>
                <w:sz w:val="20"/>
                <w:szCs w:val="20"/>
              </w:rPr>
              <w:t>(5,958)</w:t>
            </w:r>
          </w:p>
        </w:tc>
        <w:tc>
          <w:tcPr>
            <w:tcW w:w="960" w:type="dxa"/>
            <w:noWrap/>
            <w:hideMark/>
          </w:tcPr>
          <w:p w14:paraId="19EAA36F"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598CA500"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03A2DC60"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42D87A19" w14:textId="77777777" w:rsidTr="0026351F">
        <w:trPr>
          <w:trHeight w:val="270"/>
        </w:trPr>
        <w:tc>
          <w:tcPr>
            <w:cnfStyle w:val="001000000000" w:firstRow="0" w:lastRow="0" w:firstColumn="1" w:lastColumn="0" w:oddVBand="0" w:evenVBand="0" w:oddHBand="0" w:evenHBand="0" w:firstRowFirstColumn="0" w:firstRowLastColumn="0" w:lastRowFirstColumn="0" w:lastRowLastColumn="0"/>
            <w:tcW w:w="1848" w:type="dxa"/>
            <w:noWrap/>
            <w:hideMark/>
          </w:tcPr>
          <w:p w14:paraId="362C5519" w14:textId="77777777" w:rsidR="0026351F" w:rsidRPr="0026351F" w:rsidRDefault="0026351F" w:rsidP="0026351F">
            <w:pPr>
              <w:rPr>
                <w:rFonts w:ascii="Times New Roman" w:eastAsia="Times New Roman" w:hAnsi="Times New Roman" w:cs="Times New Roman"/>
                <w:sz w:val="20"/>
                <w:szCs w:val="20"/>
              </w:rPr>
            </w:pPr>
          </w:p>
        </w:tc>
        <w:tc>
          <w:tcPr>
            <w:tcW w:w="222" w:type="dxa"/>
            <w:noWrap/>
            <w:hideMark/>
          </w:tcPr>
          <w:p w14:paraId="5DC9793F"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153D4593"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6AA2CA27"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02322B64"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59B73A0C"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653ACA55"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1B7105E8"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59FC65C1"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3F1489FC" w14:textId="77777777" w:rsidTr="0026351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05D0FAE2" w14:textId="77777777" w:rsidR="0026351F" w:rsidRPr="0026351F" w:rsidRDefault="0026351F" w:rsidP="0026351F">
            <w:pPr>
              <w:spacing w:line="276" w:lineRule="auto"/>
              <w:rPr>
                <w:rFonts w:ascii="Times New Roman" w:eastAsia="Times New Roman" w:hAnsi="Times New Roman" w:cs="Times New Roman"/>
                <w:color w:val="000000"/>
                <w:sz w:val="24"/>
                <w:szCs w:val="24"/>
              </w:rPr>
            </w:pPr>
            <w:r w:rsidRPr="0026351F">
              <w:rPr>
                <w:rFonts w:ascii="Times New Roman" w:eastAsia="Times New Roman" w:hAnsi="Times New Roman" w:cs="Times New Roman"/>
                <w:color w:val="000000"/>
              </w:rPr>
              <w:t>Taxation</w:t>
            </w:r>
          </w:p>
        </w:tc>
        <w:tc>
          <w:tcPr>
            <w:tcW w:w="222" w:type="dxa"/>
            <w:noWrap/>
            <w:hideMark/>
          </w:tcPr>
          <w:p w14:paraId="3D3575DC"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p>
        </w:tc>
        <w:tc>
          <w:tcPr>
            <w:tcW w:w="960" w:type="dxa"/>
            <w:noWrap/>
            <w:hideMark/>
          </w:tcPr>
          <w:p w14:paraId="46F756E2"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19CCED67"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65BC3EF7"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01C86C91"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p>
        </w:tc>
        <w:tc>
          <w:tcPr>
            <w:tcW w:w="960" w:type="dxa"/>
            <w:noWrap/>
            <w:hideMark/>
          </w:tcPr>
          <w:p w14:paraId="00F99A32"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029D2765"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61FCECC7"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291FF5AB"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11FE56A0"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Rental Income</w:t>
            </w:r>
          </w:p>
        </w:tc>
        <w:tc>
          <w:tcPr>
            <w:tcW w:w="960" w:type="dxa"/>
            <w:noWrap/>
            <w:hideMark/>
          </w:tcPr>
          <w:p w14:paraId="654DF5F0"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7AE0F2C4"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22CE4FB4"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5FD461AA"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18,000</w:t>
            </w:r>
          </w:p>
        </w:tc>
        <w:tc>
          <w:tcPr>
            <w:tcW w:w="960" w:type="dxa"/>
            <w:noWrap/>
            <w:hideMark/>
          </w:tcPr>
          <w:p w14:paraId="71B39637"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1196A58F"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5B5A0FE0"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6247E3BC"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0" w:type="dxa"/>
            <w:gridSpan w:val="3"/>
            <w:noWrap/>
            <w:hideMark/>
          </w:tcPr>
          <w:p w14:paraId="4A206D2C" w14:textId="77777777" w:rsidR="0026351F" w:rsidRPr="0026351F" w:rsidRDefault="0026351F" w:rsidP="0026351F">
            <w:pPr>
              <w:spacing w:line="276" w:lineRule="auto"/>
              <w:rPr>
                <w:rFonts w:ascii="Times New Roman" w:eastAsia="Times New Roman" w:hAnsi="Times New Roman" w:cs="Times New Roman"/>
                <w:i/>
                <w:iCs/>
                <w:sz w:val="20"/>
                <w:szCs w:val="20"/>
              </w:rPr>
            </w:pPr>
            <w:r w:rsidRPr="0026351F">
              <w:rPr>
                <w:rFonts w:ascii="Times New Roman" w:eastAsia="Times New Roman" w:hAnsi="Times New Roman" w:cs="Times New Roman"/>
                <w:i/>
                <w:iCs/>
                <w:sz w:val="20"/>
                <w:szCs w:val="20"/>
              </w:rPr>
              <w:t>Less tax-deductible items</w:t>
            </w:r>
          </w:p>
        </w:tc>
        <w:tc>
          <w:tcPr>
            <w:tcW w:w="960" w:type="dxa"/>
            <w:noWrap/>
            <w:hideMark/>
          </w:tcPr>
          <w:p w14:paraId="590918D5"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
        </w:tc>
        <w:tc>
          <w:tcPr>
            <w:tcW w:w="960" w:type="dxa"/>
            <w:noWrap/>
            <w:hideMark/>
          </w:tcPr>
          <w:p w14:paraId="4D0A9A24"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2AC82D19"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5C76DFA3"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576E5BF6"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3FCACDD9"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0D3792DD"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3030" w:type="dxa"/>
            <w:gridSpan w:val="3"/>
            <w:noWrap/>
            <w:hideMark/>
          </w:tcPr>
          <w:p w14:paraId="7AF87E55"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 xml:space="preserve">Interest repayments </w:t>
            </w:r>
          </w:p>
        </w:tc>
        <w:tc>
          <w:tcPr>
            <w:tcW w:w="960" w:type="dxa"/>
            <w:noWrap/>
            <w:hideMark/>
          </w:tcPr>
          <w:p w14:paraId="2A137752"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47D542C1"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(8,870)</w:t>
            </w:r>
          </w:p>
        </w:tc>
        <w:tc>
          <w:tcPr>
            <w:tcW w:w="960" w:type="dxa"/>
            <w:noWrap/>
            <w:hideMark/>
          </w:tcPr>
          <w:p w14:paraId="5B6EC845"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4405D6F5"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2F145151"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398061E0"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65167C30"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2809DC83"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RTB registration</w:t>
            </w:r>
          </w:p>
        </w:tc>
        <w:tc>
          <w:tcPr>
            <w:tcW w:w="960" w:type="dxa"/>
            <w:noWrap/>
            <w:hideMark/>
          </w:tcPr>
          <w:p w14:paraId="1D5D5839"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210E32E3"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38C30070"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(90)</w:t>
            </w:r>
          </w:p>
        </w:tc>
        <w:tc>
          <w:tcPr>
            <w:tcW w:w="960" w:type="dxa"/>
            <w:noWrap/>
            <w:hideMark/>
          </w:tcPr>
          <w:p w14:paraId="2BF49797"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61683998"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76766FD5"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38AD22A2"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585758E8"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2AA72763"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 xml:space="preserve">Repairs and </w:t>
            </w:r>
            <w:proofErr w:type="spellStart"/>
            <w:r w:rsidRPr="0026351F">
              <w:rPr>
                <w:rFonts w:ascii="Times New Roman" w:eastAsia="Times New Roman" w:hAnsi="Times New Roman" w:cs="Times New Roman"/>
                <w:sz w:val="20"/>
                <w:szCs w:val="20"/>
              </w:rPr>
              <w:t>Maint</w:t>
            </w:r>
            <w:proofErr w:type="spellEnd"/>
          </w:p>
        </w:tc>
        <w:tc>
          <w:tcPr>
            <w:tcW w:w="960" w:type="dxa"/>
            <w:noWrap/>
            <w:hideMark/>
          </w:tcPr>
          <w:p w14:paraId="699ED4A8"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0D512D1E"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7E3C8394"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(450)</w:t>
            </w:r>
          </w:p>
        </w:tc>
        <w:tc>
          <w:tcPr>
            <w:tcW w:w="960" w:type="dxa"/>
            <w:noWrap/>
            <w:hideMark/>
          </w:tcPr>
          <w:p w14:paraId="7290C0FE"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3648D6C5"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23641F35"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530DED59"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0124152D"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29FA9380"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 xml:space="preserve">Insurance </w:t>
            </w:r>
          </w:p>
        </w:tc>
        <w:tc>
          <w:tcPr>
            <w:tcW w:w="222" w:type="dxa"/>
            <w:noWrap/>
            <w:hideMark/>
          </w:tcPr>
          <w:p w14:paraId="0CF95977"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54E9D40A"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29786B1C"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0BB1E518"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(450)</w:t>
            </w:r>
          </w:p>
        </w:tc>
        <w:tc>
          <w:tcPr>
            <w:tcW w:w="960" w:type="dxa"/>
            <w:noWrap/>
            <w:hideMark/>
          </w:tcPr>
          <w:p w14:paraId="42AE8DFB"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3D899BDE"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632D6AA3"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6060EAFF"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160DB333"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604D1F56"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Service charges</w:t>
            </w:r>
          </w:p>
        </w:tc>
        <w:tc>
          <w:tcPr>
            <w:tcW w:w="960" w:type="dxa"/>
            <w:noWrap/>
            <w:hideMark/>
          </w:tcPr>
          <w:p w14:paraId="09B804BB"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739A3ABE"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7ECC8FCB"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(1,200)</w:t>
            </w:r>
          </w:p>
        </w:tc>
        <w:tc>
          <w:tcPr>
            <w:tcW w:w="960" w:type="dxa"/>
            <w:noWrap/>
            <w:hideMark/>
          </w:tcPr>
          <w:p w14:paraId="08B559DB"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3044EAD2"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5EF13FF9"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68300A72"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6B7FC70C"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26A061B4"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Accountants</w:t>
            </w:r>
          </w:p>
        </w:tc>
        <w:tc>
          <w:tcPr>
            <w:tcW w:w="960" w:type="dxa"/>
            <w:noWrap/>
            <w:hideMark/>
          </w:tcPr>
          <w:p w14:paraId="71D0F660"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7888C5B8"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321625FF"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(250)</w:t>
            </w:r>
          </w:p>
        </w:tc>
        <w:tc>
          <w:tcPr>
            <w:tcW w:w="960" w:type="dxa"/>
            <w:noWrap/>
            <w:hideMark/>
          </w:tcPr>
          <w:p w14:paraId="16BC6EBF"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55F15753"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26AFDF00"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440AC04B"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53EFB146"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20041458"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Gardening</w:t>
            </w:r>
          </w:p>
        </w:tc>
        <w:tc>
          <w:tcPr>
            <w:tcW w:w="222" w:type="dxa"/>
            <w:noWrap/>
            <w:hideMark/>
          </w:tcPr>
          <w:p w14:paraId="578D268B"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5D0C93A3"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4688B8B2"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06224E66"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(520)</w:t>
            </w:r>
          </w:p>
        </w:tc>
        <w:tc>
          <w:tcPr>
            <w:tcW w:w="960" w:type="dxa"/>
            <w:noWrap/>
            <w:hideMark/>
          </w:tcPr>
          <w:p w14:paraId="6D264856"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70B20EAA"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79E980AC"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0DFA3C80"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0B5940A6"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2D709BCE"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Letting fee</w:t>
            </w:r>
          </w:p>
        </w:tc>
        <w:tc>
          <w:tcPr>
            <w:tcW w:w="222" w:type="dxa"/>
            <w:noWrap/>
            <w:hideMark/>
          </w:tcPr>
          <w:p w14:paraId="5415EB5A"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67F2BA67"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65E5F208"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41831D55"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(900)</w:t>
            </w:r>
          </w:p>
        </w:tc>
        <w:tc>
          <w:tcPr>
            <w:tcW w:w="960" w:type="dxa"/>
            <w:noWrap/>
            <w:hideMark/>
          </w:tcPr>
          <w:p w14:paraId="5E092C74"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20FB5188"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64739DC1"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4277DCAA"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26E23795"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7A11E071"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Management fee</w:t>
            </w:r>
          </w:p>
        </w:tc>
        <w:tc>
          <w:tcPr>
            <w:tcW w:w="960" w:type="dxa"/>
            <w:noWrap/>
            <w:hideMark/>
          </w:tcPr>
          <w:p w14:paraId="1ADC3B7A"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0DE26481"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413670A5"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(900)</w:t>
            </w:r>
          </w:p>
        </w:tc>
        <w:tc>
          <w:tcPr>
            <w:tcW w:w="960" w:type="dxa"/>
            <w:noWrap/>
            <w:hideMark/>
          </w:tcPr>
          <w:p w14:paraId="608C443A"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0022608E"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41DEE840"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1F80AFBA"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7991A531"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4F7B0DC5" w14:textId="77777777" w:rsidR="0026351F" w:rsidRPr="0026351F" w:rsidRDefault="0026351F" w:rsidP="0026351F">
            <w:pPr>
              <w:spacing w:line="276" w:lineRule="auto"/>
              <w:rPr>
                <w:sz w:val="20"/>
                <w:szCs w:val="20"/>
                <w:lang w:eastAsia="en-IE"/>
              </w:rPr>
            </w:pPr>
          </w:p>
        </w:tc>
        <w:tc>
          <w:tcPr>
            <w:tcW w:w="222" w:type="dxa"/>
            <w:noWrap/>
            <w:hideMark/>
          </w:tcPr>
          <w:p w14:paraId="3ECC12B6"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35F6A948"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52C90ED7"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064B263A"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0C062390"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(13,630)</w:t>
            </w:r>
          </w:p>
        </w:tc>
        <w:tc>
          <w:tcPr>
            <w:tcW w:w="960" w:type="dxa"/>
            <w:noWrap/>
            <w:hideMark/>
          </w:tcPr>
          <w:p w14:paraId="628F1065"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2574DEAA"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0F8EEFC9"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0E5CF95C"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2070" w:type="dxa"/>
            <w:gridSpan w:val="2"/>
            <w:noWrap/>
            <w:hideMark/>
          </w:tcPr>
          <w:p w14:paraId="4DA866C2"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Profit for tax purposes</w:t>
            </w:r>
          </w:p>
        </w:tc>
        <w:tc>
          <w:tcPr>
            <w:tcW w:w="960" w:type="dxa"/>
            <w:noWrap/>
            <w:hideMark/>
          </w:tcPr>
          <w:p w14:paraId="507AF140"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1785F6C0"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0957D6B4"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09D47EA7"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4,370</w:t>
            </w:r>
          </w:p>
        </w:tc>
        <w:tc>
          <w:tcPr>
            <w:tcW w:w="960" w:type="dxa"/>
            <w:noWrap/>
            <w:hideMark/>
          </w:tcPr>
          <w:p w14:paraId="380B762E"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2AC18E51"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5E7D7777"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15CDDE15"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1FD6EBD5"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Income tax</w:t>
            </w:r>
          </w:p>
        </w:tc>
        <w:tc>
          <w:tcPr>
            <w:tcW w:w="222" w:type="dxa"/>
            <w:noWrap/>
            <w:hideMark/>
          </w:tcPr>
          <w:p w14:paraId="132200B4"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1A81C752"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7FC844AA"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40FF3095"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18F7A3AA"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1,748</w:t>
            </w:r>
          </w:p>
        </w:tc>
        <w:tc>
          <w:tcPr>
            <w:tcW w:w="960" w:type="dxa"/>
            <w:noWrap/>
            <w:hideMark/>
          </w:tcPr>
          <w:p w14:paraId="6F4E7AEF"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30CF1C49"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147CE0EF"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40143831" w14:textId="77777777" w:rsidTr="0026351F">
        <w:trPr>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15CD9A62"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USC</w:t>
            </w:r>
          </w:p>
        </w:tc>
        <w:tc>
          <w:tcPr>
            <w:tcW w:w="222" w:type="dxa"/>
            <w:noWrap/>
            <w:hideMark/>
          </w:tcPr>
          <w:p w14:paraId="0BA85169"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5347D846"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0640D8F0"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00CF2B0F"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26B396F2"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461</w:t>
            </w:r>
          </w:p>
        </w:tc>
        <w:tc>
          <w:tcPr>
            <w:tcW w:w="960" w:type="dxa"/>
            <w:noWrap/>
            <w:hideMark/>
          </w:tcPr>
          <w:p w14:paraId="52B29A1B"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28CEDB22"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22B976ED"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4E76CE6D" w14:textId="77777777" w:rsidTr="002635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8" w:type="dxa"/>
            <w:noWrap/>
            <w:hideMark/>
          </w:tcPr>
          <w:p w14:paraId="62BC7E53"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PRSI</w:t>
            </w:r>
          </w:p>
        </w:tc>
        <w:tc>
          <w:tcPr>
            <w:tcW w:w="222" w:type="dxa"/>
            <w:noWrap/>
            <w:hideMark/>
          </w:tcPr>
          <w:p w14:paraId="74471DC6" w14:textId="77777777" w:rsidR="0026351F" w:rsidRPr="0026351F" w:rsidRDefault="0026351F" w:rsidP="002635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14:paraId="674E3D26"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3F8CBD56"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1548609D"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hideMark/>
          </w:tcPr>
          <w:p w14:paraId="14AF2EBF"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263</w:t>
            </w:r>
          </w:p>
        </w:tc>
        <w:tc>
          <w:tcPr>
            <w:tcW w:w="960" w:type="dxa"/>
            <w:noWrap/>
            <w:hideMark/>
          </w:tcPr>
          <w:p w14:paraId="1FA10259" w14:textId="77777777" w:rsidR="0026351F" w:rsidRPr="0026351F" w:rsidRDefault="0026351F" w:rsidP="0026351F">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IE"/>
              </w:rPr>
            </w:pPr>
          </w:p>
        </w:tc>
        <w:tc>
          <w:tcPr>
            <w:tcW w:w="960" w:type="dxa"/>
            <w:noWrap/>
          </w:tcPr>
          <w:p w14:paraId="7EE3C334"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02C4AEE9" w14:textId="77777777" w:rsidR="0026351F" w:rsidRPr="0026351F" w:rsidRDefault="0026351F" w:rsidP="0026351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6351F" w:rsidRPr="0026351F" w14:paraId="064AE006" w14:textId="77777777" w:rsidTr="0026351F">
        <w:trPr>
          <w:trHeight w:val="270"/>
        </w:trPr>
        <w:tc>
          <w:tcPr>
            <w:cnfStyle w:val="001000000000" w:firstRow="0" w:lastRow="0" w:firstColumn="1" w:lastColumn="0" w:oddVBand="0" w:evenVBand="0" w:oddHBand="0" w:evenHBand="0" w:firstRowFirstColumn="0" w:firstRowLastColumn="0" w:lastRowFirstColumn="0" w:lastRowLastColumn="0"/>
            <w:tcW w:w="1848" w:type="dxa"/>
            <w:noWrap/>
            <w:hideMark/>
          </w:tcPr>
          <w:p w14:paraId="3EDA04C4" w14:textId="77777777" w:rsidR="0026351F" w:rsidRPr="0026351F" w:rsidRDefault="0026351F" w:rsidP="0026351F">
            <w:pPr>
              <w:spacing w:line="276" w:lineRule="auto"/>
              <w:rPr>
                <w:rFonts w:ascii="Times New Roman" w:eastAsia="Times New Roman" w:hAnsi="Times New Roman" w:cs="Times New Roman"/>
                <w:sz w:val="20"/>
                <w:szCs w:val="20"/>
              </w:rPr>
            </w:pPr>
            <w:r w:rsidRPr="0026351F">
              <w:rPr>
                <w:rFonts w:ascii="Times New Roman" w:eastAsia="Times New Roman" w:hAnsi="Times New Roman" w:cs="Times New Roman"/>
                <w:sz w:val="20"/>
                <w:szCs w:val="20"/>
              </w:rPr>
              <w:t>Total</w:t>
            </w:r>
          </w:p>
        </w:tc>
        <w:tc>
          <w:tcPr>
            <w:tcW w:w="222" w:type="dxa"/>
            <w:noWrap/>
            <w:hideMark/>
          </w:tcPr>
          <w:p w14:paraId="4CF5A387" w14:textId="77777777" w:rsidR="0026351F" w:rsidRPr="0026351F" w:rsidRDefault="0026351F" w:rsidP="002635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960" w:type="dxa"/>
            <w:noWrap/>
            <w:hideMark/>
          </w:tcPr>
          <w:p w14:paraId="068F4119"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40C10166"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475F6B10"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hideMark/>
          </w:tcPr>
          <w:p w14:paraId="329B29D1"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26351F">
              <w:rPr>
                <w:rFonts w:ascii="Times New Roman" w:eastAsia="Times New Roman" w:hAnsi="Times New Roman" w:cs="Times New Roman"/>
                <w:b/>
                <w:bCs/>
                <w:sz w:val="20"/>
                <w:szCs w:val="20"/>
              </w:rPr>
              <w:t>1,898</w:t>
            </w:r>
          </w:p>
        </w:tc>
        <w:tc>
          <w:tcPr>
            <w:tcW w:w="960" w:type="dxa"/>
            <w:noWrap/>
            <w:hideMark/>
          </w:tcPr>
          <w:p w14:paraId="05A00B13" w14:textId="77777777" w:rsidR="0026351F" w:rsidRPr="0026351F" w:rsidRDefault="0026351F" w:rsidP="0026351F">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IE"/>
              </w:rPr>
            </w:pPr>
          </w:p>
        </w:tc>
        <w:tc>
          <w:tcPr>
            <w:tcW w:w="960" w:type="dxa"/>
            <w:noWrap/>
          </w:tcPr>
          <w:p w14:paraId="67D58AB4"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0636FB14" w14:textId="77777777" w:rsidR="0026351F" w:rsidRPr="0026351F" w:rsidRDefault="0026351F" w:rsidP="0026351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bl>
    <w:p w14:paraId="77A01072" w14:textId="2A19E5CA" w:rsidR="0026351F" w:rsidRDefault="0026351F" w:rsidP="007F2366">
      <w:pPr>
        <w:jc w:val="both"/>
        <w:rPr>
          <w:sz w:val="24"/>
          <w:szCs w:val="24"/>
        </w:rPr>
      </w:pPr>
      <w:r>
        <w:rPr>
          <w:sz w:val="24"/>
          <w:szCs w:val="24"/>
        </w:rPr>
        <w:t>Source: IPOA</w:t>
      </w:r>
    </w:p>
    <w:sectPr w:rsidR="0026351F" w:rsidSect="0008357A">
      <w:headerReference w:type="default" r:id="rId28"/>
      <w:footerReference w:type="default" r:id="rId29"/>
      <w:pgSz w:w="11906" w:h="16838"/>
      <w:pgMar w:top="1701"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BE234" w14:textId="77777777" w:rsidR="00203D93" w:rsidRDefault="00203D93" w:rsidP="00F36C46">
      <w:pPr>
        <w:spacing w:after="0" w:line="240" w:lineRule="auto"/>
      </w:pPr>
      <w:r>
        <w:separator/>
      </w:r>
    </w:p>
  </w:endnote>
  <w:endnote w:type="continuationSeparator" w:id="0">
    <w:p w14:paraId="48F0F661" w14:textId="77777777" w:rsidR="00203D93" w:rsidRDefault="00203D93" w:rsidP="00F36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868522"/>
      <w:docPartObj>
        <w:docPartGallery w:val="Page Numbers (Bottom of Page)"/>
        <w:docPartUnique/>
      </w:docPartObj>
    </w:sdtPr>
    <w:sdtEndPr>
      <w:rPr>
        <w:color w:val="7F7F7F" w:themeColor="background1" w:themeShade="7F"/>
        <w:spacing w:val="60"/>
      </w:rPr>
    </w:sdtEndPr>
    <w:sdtContent>
      <w:p w14:paraId="65F5D4BF" w14:textId="6D34AAEC" w:rsidR="00F36C46" w:rsidRDefault="00F36C4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79E2334" w14:textId="77777777" w:rsidR="00F36C46" w:rsidRDefault="00F36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16769" w14:textId="77777777" w:rsidR="00203D93" w:rsidRDefault="00203D93" w:rsidP="00F36C46">
      <w:pPr>
        <w:spacing w:after="0" w:line="240" w:lineRule="auto"/>
      </w:pPr>
      <w:r>
        <w:separator/>
      </w:r>
    </w:p>
  </w:footnote>
  <w:footnote w:type="continuationSeparator" w:id="0">
    <w:p w14:paraId="2E97D589" w14:textId="77777777" w:rsidR="00203D93" w:rsidRDefault="00203D93" w:rsidP="00F36C46">
      <w:pPr>
        <w:spacing w:after="0" w:line="240" w:lineRule="auto"/>
      </w:pPr>
      <w:r>
        <w:continuationSeparator/>
      </w:r>
    </w:p>
  </w:footnote>
  <w:footnote w:id="1">
    <w:p w14:paraId="5FF098B2" w14:textId="42EF4B41" w:rsidR="008D1E0C" w:rsidRDefault="008D1E0C">
      <w:pPr>
        <w:pStyle w:val="FootnoteText"/>
      </w:pPr>
      <w:r>
        <w:rPr>
          <w:rStyle w:val="FootnoteReference"/>
        </w:rPr>
        <w:footnoteRef/>
      </w:r>
      <w:r>
        <w:t xml:space="preserve"> The Daft.ie Rental Price Report Q1 2022, 12</w:t>
      </w:r>
      <w:r w:rsidRPr="008D1E0C">
        <w:rPr>
          <w:vertAlign w:val="superscript"/>
        </w:rPr>
        <w:t>th</w:t>
      </w:r>
      <w:r>
        <w:t xml:space="preserve"> May 2022.</w:t>
      </w:r>
    </w:p>
  </w:footnote>
  <w:footnote w:id="2">
    <w:p w14:paraId="1A0B7402" w14:textId="4B7FFEAC" w:rsidR="000960B0" w:rsidRDefault="000960B0">
      <w:pPr>
        <w:pStyle w:val="FootnoteText"/>
      </w:pPr>
      <w:r>
        <w:rPr>
          <w:rStyle w:val="FootnoteReference"/>
        </w:rPr>
        <w:footnoteRef/>
      </w:r>
      <w:r>
        <w:t xml:space="preserve"> RTB Survey of Landlords, Tenants and Letting Agents, Amárach Research, July 2021</w:t>
      </w:r>
    </w:p>
  </w:footnote>
  <w:footnote w:id="3">
    <w:p w14:paraId="25B5C196" w14:textId="7796952C" w:rsidR="00A97CFC" w:rsidRDefault="00A97CFC">
      <w:pPr>
        <w:pStyle w:val="FootnoteText"/>
      </w:pPr>
      <w:r>
        <w:rPr>
          <w:rStyle w:val="FootnoteReference"/>
        </w:rPr>
        <w:footnoteRef/>
      </w:r>
      <w:r>
        <w:t xml:space="preserve"> IPAV/IPOA Market Insights Survey, January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A8246" w14:textId="1DD97AA7" w:rsidR="00D80993" w:rsidRDefault="00747406">
    <w:pPr>
      <w:pStyle w:val="Header"/>
    </w:pPr>
    <w:r>
      <w:rPr>
        <w:noProof/>
      </w:rPr>
      <w:drawing>
        <wp:anchor distT="0" distB="0" distL="114300" distR="114300" simplePos="0" relativeHeight="251658240" behindDoc="0" locked="0" layoutInCell="1" allowOverlap="1" wp14:anchorId="5689317F" wp14:editId="7F765C2C">
          <wp:simplePos x="0" y="0"/>
          <wp:positionH relativeFrom="margin">
            <wp:align>right</wp:align>
          </wp:positionH>
          <wp:positionV relativeFrom="paragraph">
            <wp:posOffset>-339090</wp:posOffset>
          </wp:positionV>
          <wp:extent cx="1657350" cy="803910"/>
          <wp:effectExtent l="0" t="0" r="0" b="0"/>
          <wp:wrapNone/>
          <wp:docPr id="23" name="Picture 23"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outdoor,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57350" cy="803910"/>
                  </a:xfrm>
                  <a:prstGeom prst="rect">
                    <a:avLst/>
                  </a:prstGeom>
                </pic:spPr>
              </pic:pic>
            </a:graphicData>
          </a:graphic>
        </wp:anchor>
      </w:drawing>
    </w:r>
    <w:r>
      <w:rPr>
        <w:noProof/>
      </w:rPr>
      <w:drawing>
        <wp:anchor distT="0" distB="0" distL="114300" distR="114300" simplePos="0" relativeHeight="251659264" behindDoc="0" locked="0" layoutInCell="1" allowOverlap="1" wp14:anchorId="5127CC5E" wp14:editId="696B1E71">
          <wp:simplePos x="0" y="0"/>
          <wp:positionH relativeFrom="margin">
            <wp:align>left</wp:align>
          </wp:positionH>
          <wp:positionV relativeFrom="paragraph">
            <wp:posOffset>-278130</wp:posOffset>
          </wp:positionV>
          <wp:extent cx="1285875" cy="742950"/>
          <wp:effectExtent l="0" t="0" r="9525" b="0"/>
          <wp:wrapNone/>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rotWithShape="1">
                  <a:blip r:embed="rId2">
                    <a:extLst>
                      <a:ext uri="{28A0092B-C50C-407E-A947-70E740481C1C}">
                        <a14:useLocalDpi xmlns:a14="http://schemas.microsoft.com/office/drawing/2010/main" val="0"/>
                      </a:ext>
                    </a:extLst>
                  </a:blip>
                  <a:srcRect t="21333" b="20890"/>
                  <a:stretch/>
                </pic:blipFill>
                <pic:spPr bwMode="auto">
                  <a:xfrm>
                    <a:off x="0" y="0"/>
                    <a:ext cx="1285875" cy="7429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830"/>
    <w:multiLevelType w:val="hybridMultilevel"/>
    <w:tmpl w:val="7876E9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F41CAA"/>
    <w:multiLevelType w:val="hybridMultilevel"/>
    <w:tmpl w:val="A96870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F419EE"/>
    <w:multiLevelType w:val="hybridMultilevel"/>
    <w:tmpl w:val="0C3835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E0A4D9F"/>
    <w:multiLevelType w:val="hybridMultilevel"/>
    <w:tmpl w:val="3886CF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1552810"/>
    <w:multiLevelType w:val="hybridMultilevel"/>
    <w:tmpl w:val="360499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33764DC"/>
    <w:multiLevelType w:val="hybridMultilevel"/>
    <w:tmpl w:val="3EE40E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35C5581"/>
    <w:multiLevelType w:val="hybridMultilevel"/>
    <w:tmpl w:val="153ACE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0C0A9A"/>
    <w:multiLevelType w:val="hybridMultilevel"/>
    <w:tmpl w:val="E76485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65A2B10"/>
    <w:multiLevelType w:val="hybridMultilevel"/>
    <w:tmpl w:val="BAD072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7EE41B7"/>
    <w:multiLevelType w:val="hybridMultilevel"/>
    <w:tmpl w:val="89586A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8F11615"/>
    <w:multiLevelType w:val="hybridMultilevel"/>
    <w:tmpl w:val="ABD22E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F9B3D4E"/>
    <w:multiLevelType w:val="hybridMultilevel"/>
    <w:tmpl w:val="5282B6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2A559D0"/>
    <w:multiLevelType w:val="hybridMultilevel"/>
    <w:tmpl w:val="72F23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3AC30B5"/>
    <w:multiLevelType w:val="multilevel"/>
    <w:tmpl w:val="965020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E132E5"/>
    <w:multiLevelType w:val="hybridMultilevel"/>
    <w:tmpl w:val="4F0CD6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73E1D44"/>
    <w:multiLevelType w:val="hybridMultilevel"/>
    <w:tmpl w:val="EAC2C8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8D76A9A"/>
    <w:multiLevelType w:val="hybridMultilevel"/>
    <w:tmpl w:val="CFBAAD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94C051C"/>
    <w:multiLevelType w:val="multilevel"/>
    <w:tmpl w:val="4F305D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0B0918"/>
    <w:multiLevelType w:val="hybridMultilevel"/>
    <w:tmpl w:val="78A25D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C2A7BAC"/>
    <w:multiLevelType w:val="hybridMultilevel"/>
    <w:tmpl w:val="A7C0F8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F591E20"/>
    <w:multiLevelType w:val="multilevel"/>
    <w:tmpl w:val="B17202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384E7C"/>
    <w:multiLevelType w:val="hybridMultilevel"/>
    <w:tmpl w:val="672C68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AC60E7F"/>
    <w:multiLevelType w:val="hybridMultilevel"/>
    <w:tmpl w:val="C5AE2E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1145CEE"/>
    <w:multiLevelType w:val="hybridMultilevel"/>
    <w:tmpl w:val="D0A6F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21B3FAD"/>
    <w:multiLevelType w:val="multilevel"/>
    <w:tmpl w:val="47364D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1C76C3"/>
    <w:multiLevelType w:val="hybridMultilevel"/>
    <w:tmpl w:val="BD3634F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 w15:restartNumberingAfterBreak="0">
    <w:nsid w:val="4B263B84"/>
    <w:multiLevelType w:val="hybridMultilevel"/>
    <w:tmpl w:val="12A0CD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BA96436"/>
    <w:multiLevelType w:val="hybridMultilevel"/>
    <w:tmpl w:val="218C5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BF52EB3"/>
    <w:multiLevelType w:val="multilevel"/>
    <w:tmpl w:val="8FB0D9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367FBB"/>
    <w:multiLevelType w:val="hybridMultilevel"/>
    <w:tmpl w:val="FBDCDC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0A87B24"/>
    <w:multiLevelType w:val="hybridMultilevel"/>
    <w:tmpl w:val="CA20A4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71F1A71"/>
    <w:multiLevelType w:val="hybridMultilevel"/>
    <w:tmpl w:val="0B0C4E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CA127AC"/>
    <w:multiLevelType w:val="hybridMultilevel"/>
    <w:tmpl w:val="72C8EF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1437138"/>
    <w:multiLevelType w:val="hybridMultilevel"/>
    <w:tmpl w:val="953A7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4A81466"/>
    <w:multiLevelType w:val="hybridMultilevel"/>
    <w:tmpl w:val="891803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4CA2D42"/>
    <w:multiLevelType w:val="hybridMultilevel"/>
    <w:tmpl w:val="112AD8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6086F0D"/>
    <w:multiLevelType w:val="hybridMultilevel"/>
    <w:tmpl w:val="0AC6D2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850644C"/>
    <w:multiLevelType w:val="hybridMultilevel"/>
    <w:tmpl w:val="26D086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9C845FC"/>
    <w:multiLevelType w:val="hybridMultilevel"/>
    <w:tmpl w:val="18A282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0640617">
    <w:abstractNumId w:val="17"/>
  </w:num>
  <w:num w:numId="2" w16cid:durableId="826093264">
    <w:abstractNumId w:val="20"/>
  </w:num>
  <w:num w:numId="3" w16cid:durableId="648628747">
    <w:abstractNumId w:val="28"/>
  </w:num>
  <w:num w:numId="4" w16cid:durableId="1561283655">
    <w:abstractNumId w:val="13"/>
  </w:num>
  <w:num w:numId="5" w16cid:durableId="1732118103">
    <w:abstractNumId w:val="2"/>
  </w:num>
  <w:num w:numId="6" w16cid:durableId="1537307929">
    <w:abstractNumId w:val="19"/>
  </w:num>
  <w:num w:numId="7" w16cid:durableId="1146164492">
    <w:abstractNumId w:val="8"/>
  </w:num>
  <w:num w:numId="8" w16cid:durableId="1090808582">
    <w:abstractNumId w:val="0"/>
  </w:num>
  <w:num w:numId="9" w16cid:durableId="1824001021">
    <w:abstractNumId w:val="10"/>
  </w:num>
  <w:num w:numId="10" w16cid:durableId="1413620818">
    <w:abstractNumId w:val="6"/>
  </w:num>
  <w:num w:numId="11" w16cid:durableId="784927137">
    <w:abstractNumId w:val="5"/>
  </w:num>
  <w:num w:numId="12" w16cid:durableId="390420131">
    <w:abstractNumId w:val="37"/>
  </w:num>
  <w:num w:numId="13" w16cid:durableId="603029354">
    <w:abstractNumId w:val="26"/>
  </w:num>
  <w:num w:numId="14" w16cid:durableId="601837770">
    <w:abstractNumId w:val="3"/>
  </w:num>
  <w:num w:numId="15" w16cid:durableId="837816970">
    <w:abstractNumId w:val="33"/>
  </w:num>
  <w:num w:numId="16" w16cid:durableId="1665545713">
    <w:abstractNumId w:val="12"/>
  </w:num>
  <w:num w:numId="17" w16cid:durableId="1390031521">
    <w:abstractNumId w:val="7"/>
  </w:num>
  <w:num w:numId="18" w16cid:durableId="1784955843">
    <w:abstractNumId w:val="29"/>
  </w:num>
  <w:num w:numId="19" w16cid:durableId="942615680">
    <w:abstractNumId w:val="31"/>
  </w:num>
  <w:num w:numId="20" w16cid:durableId="281032770">
    <w:abstractNumId w:val="24"/>
  </w:num>
  <w:num w:numId="21" w16cid:durableId="140386369">
    <w:abstractNumId w:val="11"/>
  </w:num>
  <w:num w:numId="22" w16cid:durableId="2100517960">
    <w:abstractNumId w:val="1"/>
  </w:num>
  <w:num w:numId="23" w16cid:durableId="1456099235">
    <w:abstractNumId w:val="32"/>
  </w:num>
  <w:num w:numId="24" w16cid:durableId="575676484">
    <w:abstractNumId w:val="9"/>
  </w:num>
  <w:num w:numId="25" w16cid:durableId="1349600744">
    <w:abstractNumId w:val="15"/>
  </w:num>
  <w:num w:numId="26" w16cid:durableId="959341317">
    <w:abstractNumId w:val="36"/>
  </w:num>
  <w:num w:numId="27" w16cid:durableId="2140344112">
    <w:abstractNumId w:val="27"/>
  </w:num>
  <w:num w:numId="28" w16cid:durableId="750200401">
    <w:abstractNumId w:val="14"/>
  </w:num>
  <w:num w:numId="29" w16cid:durableId="839080696">
    <w:abstractNumId w:val="16"/>
  </w:num>
  <w:num w:numId="30" w16cid:durableId="1586110816">
    <w:abstractNumId w:val="4"/>
  </w:num>
  <w:num w:numId="31" w16cid:durableId="1352485787">
    <w:abstractNumId w:val="21"/>
  </w:num>
  <w:num w:numId="32" w16cid:durableId="1163277937">
    <w:abstractNumId w:val="25"/>
  </w:num>
  <w:num w:numId="33" w16cid:durableId="374697335">
    <w:abstractNumId w:val="23"/>
  </w:num>
  <w:num w:numId="34" w16cid:durableId="842597073">
    <w:abstractNumId w:val="18"/>
  </w:num>
  <w:num w:numId="35" w16cid:durableId="1811360523">
    <w:abstractNumId w:val="38"/>
  </w:num>
  <w:num w:numId="36" w16cid:durableId="590966847">
    <w:abstractNumId w:val="35"/>
  </w:num>
  <w:num w:numId="37" w16cid:durableId="1216233485">
    <w:abstractNumId w:val="34"/>
  </w:num>
  <w:num w:numId="38" w16cid:durableId="203948480">
    <w:abstractNumId w:val="30"/>
  </w:num>
  <w:num w:numId="39" w16cid:durableId="3168044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11E"/>
    <w:rsid w:val="00001487"/>
    <w:rsid w:val="00022DD5"/>
    <w:rsid w:val="00042F84"/>
    <w:rsid w:val="00045E19"/>
    <w:rsid w:val="00063ACB"/>
    <w:rsid w:val="00075879"/>
    <w:rsid w:val="000770AC"/>
    <w:rsid w:val="0008357A"/>
    <w:rsid w:val="00093FFC"/>
    <w:rsid w:val="000960B0"/>
    <w:rsid w:val="0009638E"/>
    <w:rsid w:val="000A24E8"/>
    <w:rsid w:val="000C245A"/>
    <w:rsid w:val="000C5C93"/>
    <w:rsid w:val="000E60CC"/>
    <w:rsid w:val="00105935"/>
    <w:rsid w:val="00107CED"/>
    <w:rsid w:val="00107FDB"/>
    <w:rsid w:val="001114C1"/>
    <w:rsid w:val="00111711"/>
    <w:rsid w:val="00113ABD"/>
    <w:rsid w:val="00121489"/>
    <w:rsid w:val="001332DC"/>
    <w:rsid w:val="00146A8F"/>
    <w:rsid w:val="00150B2F"/>
    <w:rsid w:val="001644B3"/>
    <w:rsid w:val="001654DD"/>
    <w:rsid w:val="00186D57"/>
    <w:rsid w:val="001A30D5"/>
    <w:rsid w:val="001B0744"/>
    <w:rsid w:val="001B2BAD"/>
    <w:rsid w:val="001C2FAE"/>
    <w:rsid w:val="001C48A7"/>
    <w:rsid w:val="001C61B1"/>
    <w:rsid w:val="001D78D2"/>
    <w:rsid w:val="001F699D"/>
    <w:rsid w:val="0020311E"/>
    <w:rsid w:val="00203D93"/>
    <w:rsid w:val="002070A7"/>
    <w:rsid w:val="0022130B"/>
    <w:rsid w:val="00247492"/>
    <w:rsid w:val="00247A38"/>
    <w:rsid w:val="0026351F"/>
    <w:rsid w:val="00277C27"/>
    <w:rsid w:val="002808F5"/>
    <w:rsid w:val="00284684"/>
    <w:rsid w:val="00295172"/>
    <w:rsid w:val="002A098E"/>
    <w:rsid w:val="002A315D"/>
    <w:rsid w:val="002F4DBE"/>
    <w:rsid w:val="00314D06"/>
    <w:rsid w:val="00324AA6"/>
    <w:rsid w:val="00327043"/>
    <w:rsid w:val="00351F26"/>
    <w:rsid w:val="00357B68"/>
    <w:rsid w:val="003757E5"/>
    <w:rsid w:val="00390ED1"/>
    <w:rsid w:val="00396742"/>
    <w:rsid w:val="003A26B4"/>
    <w:rsid w:val="003A5C47"/>
    <w:rsid w:val="003C242F"/>
    <w:rsid w:val="003D13CD"/>
    <w:rsid w:val="003E18ED"/>
    <w:rsid w:val="004227DB"/>
    <w:rsid w:val="00424F0A"/>
    <w:rsid w:val="00490893"/>
    <w:rsid w:val="00490B0E"/>
    <w:rsid w:val="004C2DA1"/>
    <w:rsid w:val="004F23DF"/>
    <w:rsid w:val="004F67A4"/>
    <w:rsid w:val="00510A91"/>
    <w:rsid w:val="00546D50"/>
    <w:rsid w:val="005522C5"/>
    <w:rsid w:val="00566638"/>
    <w:rsid w:val="005830BD"/>
    <w:rsid w:val="005B2C5C"/>
    <w:rsid w:val="005B5C8E"/>
    <w:rsid w:val="005F45D3"/>
    <w:rsid w:val="006010E1"/>
    <w:rsid w:val="006038AA"/>
    <w:rsid w:val="0061382C"/>
    <w:rsid w:val="00637028"/>
    <w:rsid w:val="006377F9"/>
    <w:rsid w:val="00640767"/>
    <w:rsid w:val="00644303"/>
    <w:rsid w:val="006676ED"/>
    <w:rsid w:val="006776F9"/>
    <w:rsid w:val="006A76C5"/>
    <w:rsid w:val="006C7C75"/>
    <w:rsid w:val="006E2A87"/>
    <w:rsid w:val="006F6108"/>
    <w:rsid w:val="006F6380"/>
    <w:rsid w:val="00715863"/>
    <w:rsid w:val="00720098"/>
    <w:rsid w:val="0072229E"/>
    <w:rsid w:val="0073239E"/>
    <w:rsid w:val="007440BD"/>
    <w:rsid w:val="00747406"/>
    <w:rsid w:val="0075194E"/>
    <w:rsid w:val="00780955"/>
    <w:rsid w:val="0079171A"/>
    <w:rsid w:val="007A1EC7"/>
    <w:rsid w:val="007B761B"/>
    <w:rsid w:val="007C5BAD"/>
    <w:rsid w:val="007D4573"/>
    <w:rsid w:val="007D7800"/>
    <w:rsid w:val="007F2366"/>
    <w:rsid w:val="008230FC"/>
    <w:rsid w:val="00837FD1"/>
    <w:rsid w:val="008428EB"/>
    <w:rsid w:val="00853F5A"/>
    <w:rsid w:val="0086613C"/>
    <w:rsid w:val="00874EA4"/>
    <w:rsid w:val="00875F22"/>
    <w:rsid w:val="008B3670"/>
    <w:rsid w:val="008C727A"/>
    <w:rsid w:val="008D1E0C"/>
    <w:rsid w:val="008E1645"/>
    <w:rsid w:val="008F3CCE"/>
    <w:rsid w:val="008F666B"/>
    <w:rsid w:val="00900847"/>
    <w:rsid w:val="0090630D"/>
    <w:rsid w:val="00930323"/>
    <w:rsid w:val="00933604"/>
    <w:rsid w:val="00944523"/>
    <w:rsid w:val="00957B83"/>
    <w:rsid w:val="0096514F"/>
    <w:rsid w:val="009761EC"/>
    <w:rsid w:val="00983A5F"/>
    <w:rsid w:val="00983D83"/>
    <w:rsid w:val="00985226"/>
    <w:rsid w:val="009B3C84"/>
    <w:rsid w:val="009D0418"/>
    <w:rsid w:val="009F1621"/>
    <w:rsid w:val="00A03B37"/>
    <w:rsid w:val="00A155A7"/>
    <w:rsid w:val="00A16FF9"/>
    <w:rsid w:val="00A27371"/>
    <w:rsid w:val="00A54114"/>
    <w:rsid w:val="00A61183"/>
    <w:rsid w:val="00A83592"/>
    <w:rsid w:val="00A97CFC"/>
    <w:rsid w:val="00AA3990"/>
    <w:rsid w:val="00AB1A10"/>
    <w:rsid w:val="00AC2A1E"/>
    <w:rsid w:val="00AC3E40"/>
    <w:rsid w:val="00B1768C"/>
    <w:rsid w:val="00B25041"/>
    <w:rsid w:val="00B272FC"/>
    <w:rsid w:val="00B46167"/>
    <w:rsid w:val="00B52CBB"/>
    <w:rsid w:val="00B63338"/>
    <w:rsid w:val="00B73C10"/>
    <w:rsid w:val="00B87ADF"/>
    <w:rsid w:val="00BA0EF3"/>
    <w:rsid w:val="00BD4033"/>
    <w:rsid w:val="00C0346A"/>
    <w:rsid w:val="00C0450E"/>
    <w:rsid w:val="00C303C5"/>
    <w:rsid w:val="00C34433"/>
    <w:rsid w:val="00C61188"/>
    <w:rsid w:val="00C62589"/>
    <w:rsid w:val="00C71EF2"/>
    <w:rsid w:val="00C80177"/>
    <w:rsid w:val="00C92E02"/>
    <w:rsid w:val="00CB0096"/>
    <w:rsid w:val="00CB4E6E"/>
    <w:rsid w:val="00CC37C1"/>
    <w:rsid w:val="00CD4E0A"/>
    <w:rsid w:val="00CE2EBD"/>
    <w:rsid w:val="00CE5686"/>
    <w:rsid w:val="00CF5980"/>
    <w:rsid w:val="00D13249"/>
    <w:rsid w:val="00D16B20"/>
    <w:rsid w:val="00D17768"/>
    <w:rsid w:val="00D37661"/>
    <w:rsid w:val="00D4380D"/>
    <w:rsid w:val="00D45170"/>
    <w:rsid w:val="00D45740"/>
    <w:rsid w:val="00D614B5"/>
    <w:rsid w:val="00D71BDF"/>
    <w:rsid w:val="00D80993"/>
    <w:rsid w:val="00DA261D"/>
    <w:rsid w:val="00DD1A86"/>
    <w:rsid w:val="00DE7DC6"/>
    <w:rsid w:val="00E16A92"/>
    <w:rsid w:val="00E27DC6"/>
    <w:rsid w:val="00E413E9"/>
    <w:rsid w:val="00E42F38"/>
    <w:rsid w:val="00E776B3"/>
    <w:rsid w:val="00E904A3"/>
    <w:rsid w:val="00EB3E7F"/>
    <w:rsid w:val="00EE7447"/>
    <w:rsid w:val="00F0048D"/>
    <w:rsid w:val="00F23506"/>
    <w:rsid w:val="00F24066"/>
    <w:rsid w:val="00F36C46"/>
    <w:rsid w:val="00F43C35"/>
    <w:rsid w:val="00F6104E"/>
    <w:rsid w:val="00F7073B"/>
    <w:rsid w:val="00F70FEF"/>
    <w:rsid w:val="00F82953"/>
    <w:rsid w:val="00F86B00"/>
    <w:rsid w:val="00FB39F0"/>
    <w:rsid w:val="00FC59E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A09C8"/>
  <w15:chartTrackingRefBased/>
  <w15:docId w15:val="{DDFFE953-C46C-479B-B632-3382B6FB3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13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45E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3E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A315D"/>
    <w:pPr>
      <w:ind w:left="720"/>
      <w:contextualSpacing/>
    </w:pPr>
  </w:style>
  <w:style w:type="table" w:customStyle="1" w:styleId="GridTable4-Accent13">
    <w:name w:val="Grid Table 4 - Accent 13"/>
    <w:basedOn w:val="TableNormal"/>
    <w:next w:val="TableNormal"/>
    <w:uiPriority w:val="49"/>
    <w:rsid w:val="006038A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4F23D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NoSpacing">
    <w:name w:val="No Spacing"/>
    <w:link w:val="NoSpacingChar"/>
    <w:uiPriority w:val="1"/>
    <w:qFormat/>
    <w:rsid w:val="006A76C5"/>
    <w:pPr>
      <w:spacing w:after="0" w:line="240" w:lineRule="auto"/>
    </w:pPr>
    <w:rPr>
      <w:color w:val="44546A" w:themeColor="text2"/>
      <w:sz w:val="20"/>
      <w:szCs w:val="20"/>
      <w:lang w:val="en-US"/>
    </w:rPr>
  </w:style>
  <w:style w:type="character" w:customStyle="1" w:styleId="NoSpacingChar">
    <w:name w:val="No Spacing Char"/>
    <w:basedOn w:val="DefaultParagraphFont"/>
    <w:link w:val="NoSpacing"/>
    <w:uiPriority w:val="1"/>
    <w:rsid w:val="00F36C46"/>
    <w:rPr>
      <w:color w:val="44546A" w:themeColor="text2"/>
      <w:sz w:val="20"/>
      <w:szCs w:val="20"/>
      <w:lang w:val="en-US"/>
    </w:rPr>
  </w:style>
  <w:style w:type="paragraph" w:styleId="Header">
    <w:name w:val="header"/>
    <w:basedOn w:val="Normal"/>
    <w:link w:val="HeaderChar"/>
    <w:uiPriority w:val="99"/>
    <w:unhideWhenUsed/>
    <w:rsid w:val="00F36C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C46"/>
  </w:style>
  <w:style w:type="paragraph" w:styleId="Footer">
    <w:name w:val="footer"/>
    <w:basedOn w:val="Normal"/>
    <w:link w:val="FooterChar"/>
    <w:uiPriority w:val="99"/>
    <w:unhideWhenUsed/>
    <w:rsid w:val="00F36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C46"/>
  </w:style>
  <w:style w:type="paragraph" w:styleId="FootnoteText">
    <w:name w:val="footnote text"/>
    <w:basedOn w:val="Normal"/>
    <w:link w:val="FootnoteTextChar"/>
    <w:uiPriority w:val="99"/>
    <w:semiHidden/>
    <w:unhideWhenUsed/>
    <w:rsid w:val="000960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60B0"/>
    <w:rPr>
      <w:sz w:val="20"/>
      <w:szCs w:val="20"/>
    </w:rPr>
  </w:style>
  <w:style w:type="character" w:styleId="FootnoteReference">
    <w:name w:val="footnote reference"/>
    <w:basedOn w:val="DefaultParagraphFont"/>
    <w:uiPriority w:val="99"/>
    <w:semiHidden/>
    <w:unhideWhenUsed/>
    <w:rsid w:val="000960B0"/>
    <w:rPr>
      <w:vertAlign w:val="superscript"/>
    </w:rPr>
  </w:style>
  <w:style w:type="character" w:customStyle="1" w:styleId="Heading2Char">
    <w:name w:val="Heading 2 Char"/>
    <w:basedOn w:val="DefaultParagraphFont"/>
    <w:link w:val="Heading2"/>
    <w:uiPriority w:val="9"/>
    <w:semiHidden/>
    <w:rsid w:val="00045E1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6C7C75"/>
    <w:rPr>
      <w:color w:val="0000FF"/>
      <w:u w:val="single"/>
    </w:rPr>
  </w:style>
  <w:style w:type="paragraph" w:styleId="TOCHeading">
    <w:name w:val="TOC Heading"/>
    <w:basedOn w:val="Heading1"/>
    <w:next w:val="Normal"/>
    <w:uiPriority w:val="39"/>
    <w:unhideWhenUsed/>
    <w:qFormat/>
    <w:rsid w:val="00186D57"/>
    <w:pPr>
      <w:outlineLvl w:val="9"/>
    </w:pPr>
    <w:rPr>
      <w:lang w:val="en-US"/>
    </w:rPr>
  </w:style>
  <w:style w:type="paragraph" w:styleId="TOC1">
    <w:name w:val="toc 1"/>
    <w:basedOn w:val="Normal"/>
    <w:next w:val="Normal"/>
    <w:autoRedefine/>
    <w:uiPriority w:val="39"/>
    <w:unhideWhenUsed/>
    <w:rsid w:val="00186D57"/>
    <w:pPr>
      <w:spacing w:after="100"/>
    </w:pPr>
  </w:style>
  <w:style w:type="paragraph" w:styleId="PlainText">
    <w:name w:val="Plain Text"/>
    <w:basedOn w:val="Normal"/>
    <w:link w:val="PlainTextChar"/>
    <w:uiPriority w:val="99"/>
    <w:semiHidden/>
    <w:unhideWhenUsed/>
    <w:rsid w:val="00107FDB"/>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107FDB"/>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9188">
      <w:bodyDiv w:val="1"/>
      <w:marLeft w:val="0"/>
      <w:marRight w:val="0"/>
      <w:marTop w:val="0"/>
      <w:marBottom w:val="0"/>
      <w:divBdr>
        <w:top w:val="none" w:sz="0" w:space="0" w:color="auto"/>
        <w:left w:val="none" w:sz="0" w:space="0" w:color="auto"/>
        <w:bottom w:val="none" w:sz="0" w:space="0" w:color="auto"/>
        <w:right w:val="none" w:sz="0" w:space="0" w:color="auto"/>
      </w:divBdr>
      <w:divsChild>
        <w:div w:id="1882668875">
          <w:marLeft w:val="0"/>
          <w:marRight w:val="0"/>
          <w:marTop w:val="0"/>
          <w:marBottom w:val="0"/>
          <w:divBdr>
            <w:top w:val="none" w:sz="0" w:space="0" w:color="auto"/>
            <w:left w:val="none" w:sz="0" w:space="0" w:color="auto"/>
            <w:bottom w:val="none" w:sz="0" w:space="0" w:color="auto"/>
            <w:right w:val="none" w:sz="0" w:space="0" w:color="auto"/>
          </w:divBdr>
          <w:divsChild>
            <w:div w:id="691685287">
              <w:marLeft w:val="-300"/>
              <w:marRight w:val="-300"/>
              <w:marTop w:val="0"/>
              <w:marBottom w:val="0"/>
              <w:divBdr>
                <w:top w:val="none" w:sz="0" w:space="0" w:color="auto"/>
                <w:left w:val="none" w:sz="0" w:space="0" w:color="auto"/>
                <w:bottom w:val="none" w:sz="0" w:space="0" w:color="auto"/>
                <w:right w:val="none" w:sz="0" w:space="0" w:color="auto"/>
              </w:divBdr>
              <w:divsChild>
                <w:div w:id="1925606273">
                  <w:marLeft w:val="0"/>
                  <w:marRight w:val="0"/>
                  <w:marTop w:val="0"/>
                  <w:marBottom w:val="0"/>
                  <w:divBdr>
                    <w:top w:val="none" w:sz="0" w:space="0" w:color="auto"/>
                    <w:left w:val="none" w:sz="0" w:space="0" w:color="auto"/>
                    <w:bottom w:val="none" w:sz="0" w:space="0" w:color="auto"/>
                    <w:right w:val="none" w:sz="0" w:space="0" w:color="auto"/>
                  </w:divBdr>
                </w:div>
                <w:div w:id="14550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98558">
          <w:marLeft w:val="0"/>
          <w:marRight w:val="0"/>
          <w:marTop w:val="0"/>
          <w:marBottom w:val="0"/>
          <w:divBdr>
            <w:top w:val="none" w:sz="0" w:space="0" w:color="auto"/>
            <w:left w:val="none" w:sz="0" w:space="0" w:color="auto"/>
            <w:bottom w:val="none" w:sz="0" w:space="0" w:color="auto"/>
            <w:right w:val="none" w:sz="0" w:space="0" w:color="auto"/>
          </w:divBdr>
          <w:divsChild>
            <w:div w:id="211624027">
              <w:marLeft w:val="0"/>
              <w:marRight w:val="0"/>
              <w:marTop w:val="0"/>
              <w:marBottom w:val="0"/>
              <w:divBdr>
                <w:top w:val="none" w:sz="0" w:space="0" w:color="auto"/>
                <w:left w:val="none" w:sz="0" w:space="0" w:color="auto"/>
                <w:bottom w:val="none" w:sz="0" w:space="0" w:color="auto"/>
                <w:right w:val="none" w:sz="0" w:space="0" w:color="auto"/>
              </w:divBdr>
              <w:divsChild>
                <w:div w:id="927691758">
                  <w:marLeft w:val="0"/>
                  <w:marRight w:val="0"/>
                  <w:marTop w:val="0"/>
                  <w:marBottom w:val="0"/>
                  <w:divBdr>
                    <w:top w:val="none" w:sz="0" w:space="0" w:color="auto"/>
                    <w:left w:val="none" w:sz="0" w:space="0" w:color="auto"/>
                    <w:bottom w:val="none" w:sz="0" w:space="0" w:color="auto"/>
                    <w:right w:val="none" w:sz="0" w:space="0" w:color="auto"/>
                  </w:divBdr>
                  <w:divsChild>
                    <w:div w:id="1719351098">
                      <w:marLeft w:val="-300"/>
                      <w:marRight w:val="-300"/>
                      <w:marTop w:val="0"/>
                      <w:marBottom w:val="0"/>
                      <w:divBdr>
                        <w:top w:val="none" w:sz="0" w:space="0" w:color="auto"/>
                        <w:left w:val="none" w:sz="0" w:space="0" w:color="auto"/>
                        <w:bottom w:val="none" w:sz="0" w:space="0" w:color="auto"/>
                        <w:right w:val="none" w:sz="0" w:space="0" w:color="auto"/>
                      </w:divBdr>
                      <w:divsChild>
                        <w:div w:id="1645699732">
                          <w:marLeft w:val="0"/>
                          <w:marRight w:val="0"/>
                          <w:marTop w:val="0"/>
                          <w:marBottom w:val="0"/>
                          <w:divBdr>
                            <w:top w:val="none" w:sz="0" w:space="0" w:color="auto"/>
                            <w:left w:val="none" w:sz="0" w:space="0" w:color="auto"/>
                            <w:bottom w:val="none" w:sz="0" w:space="0" w:color="auto"/>
                            <w:right w:val="none" w:sz="0" w:space="0" w:color="auto"/>
                          </w:divBdr>
                          <w:divsChild>
                            <w:div w:id="4814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825763">
      <w:bodyDiv w:val="1"/>
      <w:marLeft w:val="0"/>
      <w:marRight w:val="0"/>
      <w:marTop w:val="0"/>
      <w:marBottom w:val="0"/>
      <w:divBdr>
        <w:top w:val="none" w:sz="0" w:space="0" w:color="auto"/>
        <w:left w:val="none" w:sz="0" w:space="0" w:color="auto"/>
        <w:bottom w:val="none" w:sz="0" w:space="0" w:color="auto"/>
        <w:right w:val="none" w:sz="0" w:space="0" w:color="auto"/>
      </w:divBdr>
    </w:div>
    <w:div w:id="1234970907">
      <w:bodyDiv w:val="1"/>
      <w:marLeft w:val="0"/>
      <w:marRight w:val="0"/>
      <w:marTop w:val="0"/>
      <w:marBottom w:val="0"/>
      <w:divBdr>
        <w:top w:val="none" w:sz="0" w:space="0" w:color="auto"/>
        <w:left w:val="none" w:sz="0" w:space="0" w:color="auto"/>
        <w:bottom w:val="none" w:sz="0" w:space="0" w:color="auto"/>
        <w:right w:val="none" w:sz="0" w:space="0" w:color="auto"/>
      </w:divBdr>
      <w:divsChild>
        <w:div w:id="329335369">
          <w:marLeft w:val="0"/>
          <w:marRight w:val="0"/>
          <w:marTop w:val="0"/>
          <w:marBottom w:val="0"/>
          <w:divBdr>
            <w:top w:val="none" w:sz="0" w:space="0" w:color="auto"/>
            <w:left w:val="none" w:sz="0" w:space="0" w:color="auto"/>
            <w:bottom w:val="none" w:sz="0" w:space="0" w:color="auto"/>
            <w:right w:val="none" w:sz="0" w:space="0" w:color="auto"/>
          </w:divBdr>
          <w:divsChild>
            <w:div w:id="269746363">
              <w:marLeft w:val="-300"/>
              <w:marRight w:val="-300"/>
              <w:marTop w:val="0"/>
              <w:marBottom w:val="0"/>
              <w:divBdr>
                <w:top w:val="none" w:sz="0" w:space="0" w:color="auto"/>
                <w:left w:val="none" w:sz="0" w:space="0" w:color="auto"/>
                <w:bottom w:val="none" w:sz="0" w:space="0" w:color="auto"/>
                <w:right w:val="none" w:sz="0" w:space="0" w:color="auto"/>
              </w:divBdr>
              <w:divsChild>
                <w:div w:id="802040152">
                  <w:marLeft w:val="0"/>
                  <w:marRight w:val="0"/>
                  <w:marTop w:val="0"/>
                  <w:marBottom w:val="0"/>
                  <w:divBdr>
                    <w:top w:val="none" w:sz="0" w:space="0" w:color="auto"/>
                    <w:left w:val="none" w:sz="0" w:space="0" w:color="auto"/>
                    <w:bottom w:val="none" w:sz="0" w:space="0" w:color="auto"/>
                    <w:right w:val="none" w:sz="0" w:space="0" w:color="auto"/>
                  </w:divBdr>
                </w:div>
                <w:div w:id="9679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13187">
          <w:marLeft w:val="0"/>
          <w:marRight w:val="0"/>
          <w:marTop w:val="0"/>
          <w:marBottom w:val="0"/>
          <w:divBdr>
            <w:top w:val="none" w:sz="0" w:space="0" w:color="auto"/>
            <w:left w:val="none" w:sz="0" w:space="0" w:color="auto"/>
            <w:bottom w:val="none" w:sz="0" w:space="0" w:color="auto"/>
            <w:right w:val="none" w:sz="0" w:space="0" w:color="auto"/>
          </w:divBdr>
          <w:divsChild>
            <w:div w:id="660894674">
              <w:marLeft w:val="0"/>
              <w:marRight w:val="0"/>
              <w:marTop w:val="0"/>
              <w:marBottom w:val="0"/>
              <w:divBdr>
                <w:top w:val="none" w:sz="0" w:space="0" w:color="auto"/>
                <w:left w:val="none" w:sz="0" w:space="0" w:color="auto"/>
                <w:bottom w:val="none" w:sz="0" w:space="0" w:color="auto"/>
                <w:right w:val="none" w:sz="0" w:space="0" w:color="auto"/>
              </w:divBdr>
              <w:divsChild>
                <w:div w:id="1408764186">
                  <w:marLeft w:val="0"/>
                  <w:marRight w:val="0"/>
                  <w:marTop w:val="0"/>
                  <w:marBottom w:val="0"/>
                  <w:divBdr>
                    <w:top w:val="none" w:sz="0" w:space="0" w:color="auto"/>
                    <w:left w:val="none" w:sz="0" w:space="0" w:color="auto"/>
                    <w:bottom w:val="none" w:sz="0" w:space="0" w:color="auto"/>
                    <w:right w:val="none" w:sz="0" w:space="0" w:color="auto"/>
                  </w:divBdr>
                  <w:divsChild>
                    <w:div w:id="696735442">
                      <w:marLeft w:val="-300"/>
                      <w:marRight w:val="-300"/>
                      <w:marTop w:val="0"/>
                      <w:marBottom w:val="0"/>
                      <w:divBdr>
                        <w:top w:val="none" w:sz="0" w:space="0" w:color="auto"/>
                        <w:left w:val="none" w:sz="0" w:space="0" w:color="auto"/>
                        <w:bottom w:val="none" w:sz="0" w:space="0" w:color="auto"/>
                        <w:right w:val="none" w:sz="0" w:space="0" w:color="auto"/>
                      </w:divBdr>
                      <w:divsChild>
                        <w:div w:id="1387143642">
                          <w:marLeft w:val="0"/>
                          <w:marRight w:val="0"/>
                          <w:marTop w:val="0"/>
                          <w:marBottom w:val="0"/>
                          <w:divBdr>
                            <w:top w:val="none" w:sz="0" w:space="0" w:color="auto"/>
                            <w:left w:val="none" w:sz="0" w:space="0" w:color="auto"/>
                            <w:bottom w:val="none" w:sz="0" w:space="0" w:color="auto"/>
                            <w:right w:val="none" w:sz="0" w:space="0" w:color="auto"/>
                          </w:divBdr>
                          <w:divsChild>
                            <w:div w:id="2106725937">
                              <w:marLeft w:val="0"/>
                              <w:marRight w:val="0"/>
                              <w:marTop w:val="0"/>
                              <w:marBottom w:val="0"/>
                              <w:divBdr>
                                <w:top w:val="none" w:sz="0" w:space="0" w:color="auto"/>
                                <w:left w:val="none" w:sz="0" w:space="0" w:color="auto"/>
                                <w:bottom w:val="none" w:sz="0" w:space="0" w:color="auto"/>
                                <w:right w:val="none" w:sz="0" w:space="0" w:color="auto"/>
                              </w:divBdr>
                              <w:divsChild>
                                <w:div w:id="76488629">
                                  <w:marLeft w:val="0"/>
                                  <w:marRight w:val="0"/>
                                  <w:marTop w:val="0"/>
                                  <w:marBottom w:val="0"/>
                                  <w:divBdr>
                                    <w:top w:val="none" w:sz="0" w:space="0" w:color="auto"/>
                                    <w:left w:val="none" w:sz="0" w:space="0" w:color="auto"/>
                                    <w:bottom w:val="none" w:sz="0" w:space="0" w:color="auto"/>
                                    <w:right w:val="none" w:sz="0" w:space="0" w:color="auto"/>
                                  </w:divBdr>
                                  <w:divsChild>
                                    <w:div w:id="49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767380">
      <w:bodyDiv w:val="1"/>
      <w:marLeft w:val="0"/>
      <w:marRight w:val="0"/>
      <w:marTop w:val="0"/>
      <w:marBottom w:val="0"/>
      <w:divBdr>
        <w:top w:val="none" w:sz="0" w:space="0" w:color="auto"/>
        <w:left w:val="none" w:sz="0" w:space="0" w:color="auto"/>
        <w:bottom w:val="none" w:sz="0" w:space="0" w:color="auto"/>
        <w:right w:val="none" w:sz="0" w:space="0" w:color="auto"/>
      </w:divBdr>
    </w:div>
    <w:div w:id="2067676563">
      <w:bodyDiv w:val="1"/>
      <w:marLeft w:val="0"/>
      <w:marRight w:val="0"/>
      <w:marTop w:val="0"/>
      <w:marBottom w:val="0"/>
      <w:divBdr>
        <w:top w:val="none" w:sz="0" w:space="0" w:color="auto"/>
        <w:left w:val="none" w:sz="0" w:space="0" w:color="auto"/>
        <w:bottom w:val="none" w:sz="0" w:space="0" w:color="auto"/>
        <w:right w:val="none" w:sz="0" w:space="0" w:color="auto"/>
      </w:divBdr>
    </w:div>
    <w:div w:id="209369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https://www.rtb.ie/images/uploads/forms/Schedule_1_Notice_of_New_Rent_RTB_(Revised_Dec_2021)_Final.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'PRICES CSO'!$B$1</c:f>
              <c:strCache>
                <c:ptCount val="1"/>
                <c:pt idx="0">
                  <c:v>National</c:v>
                </c:pt>
              </c:strCache>
            </c:strRef>
          </c:tx>
          <c:spPr>
            <a:ln w="28575" cap="rnd">
              <a:solidFill>
                <a:schemeClr val="accent1"/>
              </a:solidFill>
              <a:round/>
            </a:ln>
            <a:effectLst/>
          </c:spPr>
          <c:marker>
            <c:symbol val="none"/>
          </c:marker>
          <c:cat>
            <c:numRef>
              <c:f>'PRICES CSO'!$A$2:$A$207</c:f>
              <c:numCache>
                <c:formatCode>mmm\-yy</c:formatCode>
                <c:ptCount val="206"/>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pt idx="170">
                  <c:v>43525</c:v>
                </c:pt>
                <c:pt idx="171">
                  <c:v>43556</c:v>
                </c:pt>
                <c:pt idx="172">
                  <c:v>43586</c:v>
                </c:pt>
                <c:pt idx="173">
                  <c:v>43617</c:v>
                </c:pt>
                <c:pt idx="174">
                  <c:v>43647</c:v>
                </c:pt>
                <c:pt idx="175">
                  <c:v>43678</c:v>
                </c:pt>
                <c:pt idx="176">
                  <c:v>43709</c:v>
                </c:pt>
                <c:pt idx="177">
                  <c:v>43739</c:v>
                </c:pt>
                <c:pt idx="178">
                  <c:v>43770</c:v>
                </c:pt>
                <c:pt idx="179">
                  <c:v>43800</c:v>
                </c:pt>
                <c:pt idx="180">
                  <c:v>43831</c:v>
                </c:pt>
                <c:pt idx="181">
                  <c:v>43862</c:v>
                </c:pt>
                <c:pt idx="182">
                  <c:v>43891</c:v>
                </c:pt>
                <c:pt idx="183">
                  <c:v>43922</c:v>
                </c:pt>
                <c:pt idx="184">
                  <c:v>43952</c:v>
                </c:pt>
                <c:pt idx="185">
                  <c:v>43983</c:v>
                </c:pt>
                <c:pt idx="186">
                  <c:v>44013</c:v>
                </c:pt>
                <c:pt idx="187">
                  <c:v>44044</c:v>
                </c:pt>
                <c:pt idx="188">
                  <c:v>44075</c:v>
                </c:pt>
                <c:pt idx="189">
                  <c:v>44105</c:v>
                </c:pt>
                <c:pt idx="190">
                  <c:v>44136</c:v>
                </c:pt>
                <c:pt idx="191">
                  <c:v>44166</c:v>
                </c:pt>
                <c:pt idx="192">
                  <c:v>44197</c:v>
                </c:pt>
                <c:pt idx="193">
                  <c:v>44228</c:v>
                </c:pt>
                <c:pt idx="194">
                  <c:v>44256</c:v>
                </c:pt>
                <c:pt idx="195">
                  <c:v>44287</c:v>
                </c:pt>
                <c:pt idx="196">
                  <c:v>44317</c:v>
                </c:pt>
                <c:pt idx="197">
                  <c:v>44348</c:v>
                </c:pt>
                <c:pt idx="198">
                  <c:v>44378</c:v>
                </c:pt>
                <c:pt idx="199">
                  <c:v>44409</c:v>
                </c:pt>
                <c:pt idx="200">
                  <c:v>44440</c:v>
                </c:pt>
                <c:pt idx="201">
                  <c:v>44470</c:v>
                </c:pt>
                <c:pt idx="202">
                  <c:v>44501</c:v>
                </c:pt>
                <c:pt idx="203">
                  <c:v>44531</c:v>
                </c:pt>
                <c:pt idx="204">
                  <c:v>44562</c:v>
                </c:pt>
                <c:pt idx="205">
                  <c:v>44593</c:v>
                </c:pt>
              </c:numCache>
            </c:numRef>
          </c:cat>
          <c:val>
            <c:numRef>
              <c:f>'PRICES CSO'!$B$2:$B$207</c:f>
              <c:numCache>
                <c:formatCode>General</c:formatCode>
                <c:ptCount val="206"/>
                <c:pt idx="0">
                  <c:v>124.9</c:v>
                </c:pt>
                <c:pt idx="1">
                  <c:v>125.9</c:v>
                </c:pt>
                <c:pt idx="2">
                  <c:v>126.6</c:v>
                </c:pt>
                <c:pt idx="3">
                  <c:v>127.5</c:v>
                </c:pt>
                <c:pt idx="4">
                  <c:v>128.4</c:v>
                </c:pt>
                <c:pt idx="5">
                  <c:v>129.5</c:v>
                </c:pt>
                <c:pt idx="6">
                  <c:v>131.6</c:v>
                </c:pt>
                <c:pt idx="7">
                  <c:v>133.80000000000001</c:v>
                </c:pt>
                <c:pt idx="8">
                  <c:v>135.19999999999999</c:v>
                </c:pt>
                <c:pt idx="9">
                  <c:v>138.1</c:v>
                </c:pt>
                <c:pt idx="10">
                  <c:v>139.30000000000001</c:v>
                </c:pt>
                <c:pt idx="11">
                  <c:v>140.69999999999999</c:v>
                </c:pt>
                <c:pt idx="12">
                  <c:v>141.4</c:v>
                </c:pt>
                <c:pt idx="13">
                  <c:v>141.69999999999999</c:v>
                </c:pt>
                <c:pt idx="14">
                  <c:v>142.5</c:v>
                </c:pt>
                <c:pt idx="15">
                  <c:v>144.6</c:v>
                </c:pt>
                <c:pt idx="16">
                  <c:v>147.6</c:v>
                </c:pt>
                <c:pt idx="17">
                  <c:v>150.30000000000001</c:v>
                </c:pt>
                <c:pt idx="18">
                  <c:v>153.69999999999999</c:v>
                </c:pt>
                <c:pt idx="19">
                  <c:v>157.1</c:v>
                </c:pt>
                <c:pt idx="20">
                  <c:v>158.4</c:v>
                </c:pt>
                <c:pt idx="21">
                  <c:v>159.4</c:v>
                </c:pt>
                <c:pt idx="22">
                  <c:v>159.4</c:v>
                </c:pt>
                <c:pt idx="23">
                  <c:v>160.6</c:v>
                </c:pt>
                <c:pt idx="24">
                  <c:v>162</c:v>
                </c:pt>
                <c:pt idx="25">
                  <c:v>162.69999999999999</c:v>
                </c:pt>
                <c:pt idx="26">
                  <c:v>162.9</c:v>
                </c:pt>
                <c:pt idx="27">
                  <c:v>163.6</c:v>
                </c:pt>
                <c:pt idx="28">
                  <c:v>163.1</c:v>
                </c:pt>
                <c:pt idx="29">
                  <c:v>162.69999999999999</c:v>
                </c:pt>
                <c:pt idx="30">
                  <c:v>163.19999999999999</c:v>
                </c:pt>
                <c:pt idx="31">
                  <c:v>162.80000000000001</c:v>
                </c:pt>
                <c:pt idx="32">
                  <c:v>162.9</c:v>
                </c:pt>
                <c:pt idx="33">
                  <c:v>162.4</c:v>
                </c:pt>
                <c:pt idx="34">
                  <c:v>162.30000000000001</c:v>
                </c:pt>
                <c:pt idx="35">
                  <c:v>161.4</c:v>
                </c:pt>
                <c:pt idx="36">
                  <c:v>160</c:v>
                </c:pt>
                <c:pt idx="37">
                  <c:v>158.6</c:v>
                </c:pt>
                <c:pt idx="38">
                  <c:v>157.30000000000001</c:v>
                </c:pt>
                <c:pt idx="39">
                  <c:v>155.9</c:v>
                </c:pt>
                <c:pt idx="40">
                  <c:v>154.19999999999999</c:v>
                </c:pt>
                <c:pt idx="41">
                  <c:v>152.69999999999999</c:v>
                </c:pt>
                <c:pt idx="42">
                  <c:v>151.80000000000001</c:v>
                </c:pt>
                <c:pt idx="43">
                  <c:v>150.30000000000001</c:v>
                </c:pt>
                <c:pt idx="44">
                  <c:v>148.30000000000001</c:v>
                </c:pt>
                <c:pt idx="45">
                  <c:v>145.1</c:v>
                </c:pt>
                <c:pt idx="46">
                  <c:v>142.5</c:v>
                </c:pt>
                <c:pt idx="47">
                  <c:v>139.80000000000001</c:v>
                </c:pt>
                <c:pt idx="48">
                  <c:v>136.19999999999999</c:v>
                </c:pt>
                <c:pt idx="49">
                  <c:v>132.30000000000001</c:v>
                </c:pt>
                <c:pt idx="50">
                  <c:v>128.9</c:v>
                </c:pt>
                <c:pt idx="51">
                  <c:v>126</c:v>
                </c:pt>
                <c:pt idx="52">
                  <c:v>123.1</c:v>
                </c:pt>
                <c:pt idx="53">
                  <c:v>121</c:v>
                </c:pt>
                <c:pt idx="54">
                  <c:v>119.3</c:v>
                </c:pt>
                <c:pt idx="55">
                  <c:v>117.7</c:v>
                </c:pt>
                <c:pt idx="56">
                  <c:v>117.7</c:v>
                </c:pt>
                <c:pt idx="57">
                  <c:v>116.3</c:v>
                </c:pt>
                <c:pt idx="58">
                  <c:v>115.9</c:v>
                </c:pt>
                <c:pt idx="59">
                  <c:v>114.3</c:v>
                </c:pt>
                <c:pt idx="60">
                  <c:v>113.2</c:v>
                </c:pt>
                <c:pt idx="61">
                  <c:v>111.4</c:v>
                </c:pt>
                <c:pt idx="62">
                  <c:v>110</c:v>
                </c:pt>
                <c:pt idx="63">
                  <c:v>109.4</c:v>
                </c:pt>
                <c:pt idx="64">
                  <c:v>107.5</c:v>
                </c:pt>
                <c:pt idx="65">
                  <c:v>106.3</c:v>
                </c:pt>
                <c:pt idx="66">
                  <c:v>105.2</c:v>
                </c:pt>
                <c:pt idx="67">
                  <c:v>104.9</c:v>
                </c:pt>
                <c:pt idx="68">
                  <c:v>103.6</c:v>
                </c:pt>
                <c:pt idx="69">
                  <c:v>101.9</c:v>
                </c:pt>
                <c:pt idx="70">
                  <c:v>99.8</c:v>
                </c:pt>
                <c:pt idx="71">
                  <c:v>98.3</c:v>
                </c:pt>
                <c:pt idx="72">
                  <c:v>97.5</c:v>
                </c:pt>
                <c:pt idx="73">
                  <c:v>95.6</c:v>
                </c:pt>
                <c:pt idx="74">
                  <c:v>93.3</c:v>
                </c:pt>
                <c:pt idx="75">
                  <c:v>92</c:v>
                </c:pt>
                <c:pt idx="76">
                  <c:v>90.4</c:v>
                </c:pt>
                <c:pt idx="77">
                  <c:v>89.1</c:v>
                </c:pt>
                <c:pt idx="78">
                  <c:v>87.2</c:v>
                </c:pt>
                <c:pt idx="79">
                  <c:v>85</c:v>
                </c:pt>
                <c:pt idx="80">
                  <c:v>83.2</c:v>
                </c:pt>
                <c:pt idx="81">
                  <c:v>81.7</c:v>
                </c:pt>
                <c:pt idx="82">
                  <c:v>80.3</c:v>
                </c:pt>
                <c:pt idx="83">
                  <c:v>79.099999999999994</c:v>
                </c:pt>
                <c:pt idx="84">
                  <c:v>77.8</c:v>
                </c:pt>
                <c:pt idx="85">
                  <c:v>76</c:v>
                </c:pt>
                <c:pt idx="86">
                  <c:v>76.400000000000006</c:v>
                </c:pt>
                <c:pt idx="87">
                  <c:v>75.2</c:v>
                </c:pt>
                <c:pt idx="88">
                  <c:v>75</c:v>
                </c:pt>
                <c:pt idx="89">
                  <c:v>74.8</c:v>
                </c:pt>
                <c:pt idx="90">
                  <c:v>75.599999999999994</c:v>
                </c:pt>
                <c:pt idx="91">
                  <c:v>75.7</c:v>
                </c:pt>
                <c:pt idx="92">
                  <c:v>76.3</c:v>
                </c:pt>
                <c:pt idx="93">
                  <c:v>76.599999999999994</c:v>
                </c:pt>
                <c:pt idx="94">
                  <c:v>76.3</c:v>
                </c:pt>
                <c:pt idx="95">
                  <c:v>76.599999999999994</c:v>
                </c:pt>
                <c:pt idx="96">
                  <c:v>75.2</c:v>
                </c:pt>
                <c:pt idx="97">
                  <c:v>74.400000000000006</c:v>
                </c:pt>
                <c:pt idx="98">
                  <c:v>73.400000000000006</c:v>
                </c:pt>
                <c:pt idx="99">
                  <c:v>73.7</c:v>
                </c:pt>
                <c:pt idx="100">
                  <c:v>73.7</c:v>
                </c:pt>
                <c:pt idx="101">
                  <c:v>75.599999999999994</c:v>
                </c:pt>
                <c:pt idx="102">
                  <c:v>77.400000000000006</c:v>
                </c:pt>
                <c:pt idx="103">
                  <c:v>78.5</c:v>
                </c:pt>
                <c:pt idx="104">
                  <c:v>79.7</c:v>
                </c:pt>
                <c:pt idx="105">
                  <c:v>80.2</c:v>
                </c:pt>
                <c:pt idx="106">
                  <c:v>80.599999999999994</c:v>
                </c:pt>
                <c:pt idx="107">
                  <c:v>81.5</c:v>
                </c:pt>
                <c:pt idx="108">
                  <c:v>81.599999999999994</c:v>
                </c:pt>
                <c:pt idx="109">
                  <c:v>82</c:v>
                </c:pt>
                <c:pt idx="110">
                  <c:v>82.5</c:v>
                </c:pt>
                <c:pt idx="111">
                  <c:v>84.3</c:v>
                </c:pt>
                <c:pt idx="112">
                  <c:v>86.5</c:v>
                </c:pt>
                <c:pt idx="113">
                  <c:v>89</c:v>
                </c:pt>
                <c:pt idx="114">
                  <c:v>91.7</c:v>
                </c:pt>
                <c:pt idx="115">
                  <c:v>93.6</c:v>
                </c:pt>
                <c:pt idx="116">
                  <c:v>95.6</c:v>
                </c:pt>
                <c:pt idx="117">
                  <c:v>96.6</c:v>
                </c:pt>
                <c:pt idx="118">
                  <c:v>96.9</c:v>
                </c:pt>
                <c:pt idx="119">
                  <c:v>96.2</c:v>
                </c:pt>
                <c:pt idx="120">
                  <c:v>96.5</c:v>
                </c:pt>
                <c:pt idx="121">
                  <c:v>96.2</c:v>
                </c:pt>
                <c:pt idx="122">
                  <c:v>96.5</c:v>
                </c:pt>
                <c:pt idx="123">
                  <c:v>97.3</c:v>
                </c:pt>
                <c:pt idx="124">
                  <c:v>98.4</c:v>
                </c:pt>
                <c:pt idx="125">
                  <c:v>100</c:v>
                </c:pt>
                <c:pt idx="126">
                  <c:v>100.8</c:v>
                </c:pt>
                <c:pt idx="127">
                  <c:v>102</c:v>
                </c:pt>
                <c:pt idx="128">
                  <c:v>102.4</c:v>
                </c:pt>
                <c:pt idx="129">
                  <c:v>103.5</c:v>
                </c:pt>
                <c:pt idx="130">
                  <c:v>103.2</c:v>
                </c:pt>
                <c:pt idx="131">
                  <c:v>103</c:v>
                </c:pt>
                <c:pt idx="132">
                  <c:v>104</c:v>
                </c:pt>
                <c:pt idx="133">
                  <c:v>103.4</c:v>
                </c:pt>
                <c:pt idx="134">
                  <c:v>103.7</c:v>
                </c:pt>
                <c:pt idx="135">
                  <c:v>104.3</c:v>
                </c:pt>
                <c:pt idx="136">
                  <c:v>104.5</c:v>
                </c:pt>
                <c:pt idx="137">
                  <c:v>105.6</c:v>
                </c:pt>
                <c:pt idx="138">
                  <c:v>107.9</c:v>
                </c:pt>
                <c:pt idx="139">
                  <c:v>109.4</c:v>
                </c:pt>
                <c:pt idx="140">
                  <c:v>110.7</c:v>
                </c:pt>
                <c:pt idx="141">
                  <c:v>111.2</c:v>
                </c:pt>
                <c:pt idx="142">
                  <c:v>112.7</c:v>
                </c:pt>
                <c:pt idx="143">
                  <c:v>112.2</c:v>
                </c:pt>
                <c:pt idx="144">
                  <c:v>113</c:v>
                </c:pt>
                <c:pt idx="145">
                  <c:v>113.3</c:v>
                </c:pt>
                <c:pt idx="146">
                  <c:v>113.8</c:v>
                </c:pt>
                <c:pt idx="147">
                  <c:v>114.2</c:v>
                </c:pt>
                <c:pt idx="148">
                  <c:v>115.9</c:v>
                </c:pt>
                <c:pt idx="149">
                  <c:v>117.5</c:v>
                </c:pt>
                <c:pt idx="150">
                  <c:v>120.4</c:v>
                </c:pt>
                <c:pt idx="151">
                  <c:v>122.2</c:v>
                </c:pt>
                <c:pt idx="152">
                  <c:v>123.9</c:v>
                </c:pt>
                <c:pt idx="153">
                  <c:v>124.3</c:v>
                </c:pt>
                <c:pt idx="154">
                  <c:v>125.3</c:v>
                </c:pt>
                <c:pt idx="155">
                  <c:v>125.9</c:v>
                </c:pt>
                <c:pt idx="156">
                  <c:v>126.5</c:v>
                </c:pt>
                <c:pt idx="157">
                  <c:v>127.4</c:v>
                </c:pt>
                <c:pt idx="158">
                  <c:v>128.19999999999999</c:v>
                </c:pt>
                <c:pt idx="159">
                  <c:v>129.5</c:v>
                </c:pt>
                <c:pt idx="160">
                  <c:v>130.30000000000001</c:v>
                </c:pt>
                <c:pt idx="161">
                  <c:v>131.6</c:v>
                </c:pt>
                <c:pt idx="162">
                  <c:v>132.4</c:v>
                </c:pt>
                <c:pt idx="163">
                  <c:v>133.1</c:v>
                </c:pt>
                <c:pt idx="164">
                  <c:v>134.4</c:v>
                </c:pt>
                <c:pt idx="165">
                  <c:v>134.69999999999999</c:v>
                </c:pt>
                <c:pt idx="166">
                  <c:v>134.19999999999999</c:v>
                </c:pt>
                <c:pt idx="167">
                  <c:v>133.80000000000001</c:v>
                </c:pt>
                <c:pt idx="168">
                  <c:v>133.1</c:v>
                </c:pt>
                <c:pt idx="169">
                  <c:v>132.9</c:v>
                </c:pt>
                <c:pt idx="170">
                  <c:v>133</c:v>
                </c:pt>
                <c:pt idx="171">
                  <c:v>133.30000000000001</c:v>
                </c:pt>
                <c:pt idx="172">
                  <c:v>133.6</c:v>
                </c:pt>
                <c:pt idx="173">
                  <c:v>134.19999999999999</c:v>
                </c:pt>
                <c:pt idx="174">
                  <c:v>135.30000000000001</c:v>
                </c:pt>
                <c:pt idx="175">
                  <c:v>135.69999999999999</c:v>
                </c:pt>
                <c:pt idx="176">
                  <c:v>135.9</c:v>
                </c:pt>
                <c:pt idx="177">
                  <c:v>136</c:v>
                </c:pt>
                <c:pt idx="178">
                  <c:v>135.69999999999999</c:v>
                </c:pt>
                <c:pt idx="179">
                  <c:v>134.19999999999999</c:v>
                </c:pt>
                <c:pt idx="180">
                  <c:v>134.4</c:v>
                </c:pt>
                <c:pt idx="181">
                  <c:v>134.19999999999999</c:v>
                </c:pt>
                <c:pt idx="182">
                  <c:v>134.30000000000001</c:v>
                </c:pt>
                <c:pt idx="183">
                  <c:v>134.19999999999999</c:v>
                </c:pt>
                <c:pt idx="184">
                  <c:v>134.1</c:v>
                </c:pt>
                <c:pt idx="185">
                  <c:v>134.19999999999999</c:v>
                </c:pt>
                <c:pt idx="186">
                  <c:v>134.4</c:v>
                </c:pt>
                <c:pt idx="187">
                  <c:v>134.5</c:v>
                </c:pt>
                <c:pt idx="188">
                  <c:v>134.80000000000001</c:v>
                </c:pt>
                <c:pt idx="189">
                  <c:v>135.4</c:v>
                </c:pt>
                <c:pt idx="190">
                  <c:v>136.19999999999999</c:v>
                </c:pt>
                <c:pt idx="191">
                  <c:v>137.19999999999999</c:v>
                </c:pt>
                <c:pt idx="192">
                  <c:v>137.80000000000001</c:v>
                </c:pt>
                <c:pt idx="193">
                  <c:v>138.30000000000001</c:v>
                </c:pt>
                <c:pt idx="194">
                  <c:v>139</c:v>
                </c:pt>
                <c:pt idx="195">
                  <c:v>140.19999999999999</c:v>
                </c:pt>
                <c:pt idx="196">
                  <c:v>141.30000000000001</c:v>
                </c:pt>
                <c:pt idx="197">
                  <c:v>143.4</c:v>
                </c:pt>
                <c:pt idx="198">
                  <c:v>145.80000000000001</c:v>
                </c:pt>
                <c:pt idx="199">
                  <c:v>149.1</c:v>
                </c:pt>
                <c:pt idx="200">
                  <c:v>151.5</c:v>
                </c:pt>
                <c:pt idx="201">
                  <c:v>153.30000000000001</c:v>
                </c:pt>
                <c:pt idx="202">
                  <c:v>155.30000000000001</c:v>
                </c:pt>
                <c:pt idx="203">
                  <c:v>156.69999999999999</c:v>
                </c:pt>
                <c:pt idx="204">
                  <c:v>158.19999999999999</c:v>
                </c:pt>
                <c:pt idx="205">
                  <c:v>159.4</c:v>
                </c:pt>
              </c:numCache>
            </c:numRef>
          </c:val>
          <c:smooth val="0"/>
          <c:extLst>
            <c:ext xmlns:c16="http://schemas.microsoft.com/office/drawing/2014/chart" uri="{C3380CC4-5D6E-409C-BE32-E72D297353CC}">
              <c16:uniqueId val="{00000000-344F-4E1A-8176-C5DCA4D04C88}"/>
            </c:ext>
          </c:extLst>
        </c:ser>
        <c:ser>
          <c:idx val="1"/>
          <c:order val="1"/>
          <c:tx>
            <c:strRef>
              <c:f>'PRICES CSO'!$C$1</c:f>
              <c:strCache>
                <c:ptCount val="1"/>
                <c:pt idx="0">
                  <c:v>Dublin</c:v>
                </c:pt>
              </c:strCache>
            </c:strRef>
          </c:tx>
          <c:spPr>
            <a:ln w="28575" cap="rnd">
              <a:solidFill>
                <a:schemeClr val="accent2"/>
              </a:solidFill>
              <a:round/>
            </a:ln>
            <a:effectLst/>
          </c:spPr>
          <c:marker>
            <c:symbol val="none"/>
          </c:marker>
          <c:cat>
            <c:numRef>
              <c:f>'PRICES CSO'!$A$2:$A$207</c:f>
              <c:numCache>
                <c:formatCode>mmm\-yy</c:formatCode>
                <c:ptCount val="206"/>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pt idx="170">
                  <c:v>43525</c:v>
                </c:pt>
                <c:pt idx="171">
                  <c:v>43556</c:v>
                </c:pt>
                <c:pt idx="172">
                  <c:v>43586</c:v>
                </c:pt>
                <c:pt idx="173">
                  <c:v>43617</c:v>
                </c:pt>
                <c:pt idx="174">
                  <c:v>43647</c:v>
                </c:pt>
                <c:pt idx="175">
                  <c:v>43678</c:v>
                </c:pt>
                <c:pt idx="176">
                  <c:v>43709</c:v>
                </c:pt>
                <c:pt idx="177">
                  <c:v>43739</c:v>
                </c:pt>
                <c:pt idx="178">
                  <c:v>43770</c:v>
                </c:pt>
                <c:pt idx="179">
                  <c:v>43800</c:v>
                </c:pt>
                <c:pt idx="180">
                  <c:v>43831</c:v>
                </c:pt>
                <c:pt idx="181">
                  <c:v>43862</c:v>
                </c:pt>
                <c:pt idx="182">
                  <c:v>43891</c:v>
                </c:pt>
                <c:pt idx="183">
                  <c:v>43922</c:v>
                </c:pt>
                <c:pt idx="184">
                  <c:v>43952</c:v>
                </c:pt>
                <c:pt idx="185">
                  <c:v>43983</c:v>
                </c:pt>
                <c:pt idx="186">
                  <c:v>44013</c:v>
                </c:pt>
                <c:pt idx="187">
                  <c:v>44044</c:v>
                </c:pt>
                <c:pt idx="188">
                  <c:v>44075</c:v>
                </c:pt>
                <c:pt idx="189">
                  <c:v>44105</c:v>
                </c:pt>
                <c:pt idx="190">
                  <c:v>44136</c:v>
                </c:pt>
                <c:pt idx="191">
                  <c:v>44166</c:v>
                </c:pt>
                <c:pt idx="192">
                  <c:v>44197</c:v>
                </c:pt>
                <c:pt idx="193">
                  <c:v>44228</c:v>
                </c:pt>
                <c:pt idx="194">
                  <c:v>44256</c:v>
                </c:pt>
                <c:pt idx="195">
                  <c:v>44287</c:v>
                </c:pt>
                <c:pt idx="196">
                  <c:v>44317</c:v>
                </c:pt>
                <c:pt idx="197">
                  <c:v>44348</c:v>
                </c:pt>
                <c:pt idx="198">
                  <c:v>44378</c:v>
                </c:pt>
                <c:pt idx="199">
                  <c:v>44409</c:v>
                </c:pt>
                <c:pt idx="200">
                  <c:v>44440</c:v>
                </c:pt>
                <c:pt idx="201">
                  <c:v>44470</c:v>
                </c:pt>
                <c:pt idx="202">
                  <c:v>44501</c:v>
                </c:pt>
                <c:pt idx="203">
                  <c:v>44531</c:v>
                </c:pt>
                <c:pt idx="204">
                  <c:v>44562</c:v>
                </c:pt>
                <c:pt idx="205">
                  <c:v>44593</c:v>
                </c:pt>
              </c:numCache>
            </c:numRef>
          </c:cat>
          <c:val>
            <c:numRef>
              <c:f>'PRICES CSO'!$C$2:$C$207</c:f>
              <c:numCache>
                <c:formatCode>General</c:formatCode>
                <c:ptCount val="206"/>
                <c:pt idx="0">
                  <c:v>118.5</c:v>
                </c:pt>
                <c:pt idx="1">
                  <c:v>121</c:v>
                </c:pt>
                <c:pt idx="2">
                  <c:v>121.9</c:v>
                </c:pt>
                <c:pt idx="3">
                  <c:v>122.7</c:v>
                </c:pt>
                <c:pt idx="4">
                  <c:v>123.7</c:v>
                </c:pt>
                <c:pt idx="5">
                  <c:v>123.8</c:v>
                </c:pt>
                <c:pt idx="6">
                  <c:v>125.3</c:v>
                </c:pt>
                <c:pt idx="7">
                  <c:v>127.7</c:v>
                </c:pt>
                <c:pt idx="8">
                  <c:v>130</c:v>
                </c:pt>
                <c:pt idx="9">
                  <c:v>133.69999999999999</c:v>
                </c:pt>
                <c:pt idx="10">
                  <c:v>135.4</c:v>
                </c:pt>
                <c:pt idx="11">
                  <c:v>136.19999999999999</c:v>
                </c:pt>
                <c:pt idx="12">
                  <c:v>136.80000000000001</c:v>
                </c:pt>
                <c:pt idx="13">
                  <c:v>137.9</c:v>
                </c:pt>
                <c:pt idx="14">
                  <c:v>138.69999999999999</c:v>
                </c:pt>
                <c:pt idx="15">
                  <c:v>141.30000000000001</c:v>
                </c:pt>
                <c:pt idx="16">
                  <c:v>145</c:v>
                </c:pt>
                <c:pt idx="17">
                  <c:v>148.69999999999999</c:v>
                </c:pt>
                <c:pt idx="18">
                  <c:v>153.4</c:v>
                </c:pt>
                <c:pt idx="19">
                  <c:v>157.9</c:v>
                </c:pt>
                <c:pt idx="20">
                  <c:v>158.19999999999999</c:v>
                </c:pt>
                <c:pt idx="21">
                  <c:v>159.30000000000001</c:v>
                </c:pt>
                <c:pt idx="22">
                  <c:v>158.69999999999999</c:v>
                </c:pt>
                <c:pt idx="23">
                  <c:v>158.9</c:v>
                </c:pt>
                <c:pt idx="24">
                  <c:v>159.19999999999999</c:v>
                </c:pt>
                <c:pt idx="25">
                  <c:v>160</c:v>
                </c:pt>
                <c:pt idx="26">
                  <c:v>158.5</c:v>
                </c:pt>
                <c:pt idx="27">
                  <c:v>158.80000000000001</c:v>
                </c:pt>
                <c:pt idx="28">
                  <c:v>157.19999999999999</c:v>
                </c:pt>
                <c:pt idx="29">
                  <c:v>157.6</c:v>
                </c:pt>
                <c:pt idx="30">
                  <c:v>158.5</c:v>
                </c:pt>
                <c:pt idx="31">
                  <c:v>157.69999999999999</c:v>
                </c:pt>
                <c:pt idx="32">
                  <c:v>157.9</c:v>
                </c:pt>
                <c:pt idx="33">
                  <c:v>158</c:v>
                </c:pt>
                <c:pt idx="34">
                  <c:v>156.6</c:v>
                </c:pt>
                <c:pt idx="35">
                  <c:v>154.6</c:v>
                </c:pt>
                <c:pt idx="36">
                  <c:v>151.1</c:v>
                </c:pt>
                <c:pt idx="37">
                  <c:v>150.19999999999999</c:v>
                </c:pt>
                <c:pt idx="38">
                  <c:v>149.5</c:v>
                </c:pt>
                <c:pt idx="39">
                  <c:v>149.5</c:v>
                </c:pt>
                <c:pt idx="40">
                  <c:v>149.5</c:v>
                </c:pt>
                <c:pt idx="41">
                  <c:v>148.1</c:v>
                </c:pt>
                <c:pt idx="42">
                  <c:v>146.19999999999999</c:v>
                </c:pt>
                <c:pt idx="43">
                  <c:v>144.19999999999999</c:v>
                </c:pt>
                <c:pt idx="44">
                  <c:v>139.30000000000001</c:v>
                </c:pt>
                <c:pt idx="45">
                  <c:v>134.4</c:v>
                </c:pt>
                <c:pt idx="46">
                  <c:v>130.6</c:v>
                </c:pt>
                <c:pt idx="47">
                  <c:v>128</c:v>
                </c:pt>
                <c:pt idx="48">
                  <c:v>124.4</c:v>
                </c:pt>
                <c:pt idx="49">
                  <c:v>118.9</c:v>
                </c:pt>
                <c:pt idx="50">
                  <c:v>114.5</c:v>
                </c:pt>
                <c:pt idx="51">
                  <c:v>110.1</c:v>
                </c:pt>
                <c:pt idx="52">
                  <c:v>107.7</c:v>
                </c:pt>
                <c:pt idx="53">
                  <c:v>106.4</c:v>
                </c:pt>
                <c:pt idx="54">
                  <c:v>105.4</c:v>
                </c:pt>
                <c:pt idx="55">
                  <c:v>105.5</c:v>
                </c:pt>
                <c:pt idx="56">
                  <c:v>105</c:v>
                </c:pt>
                <c:pt idx="57">
                  <c:v>102.7</c:v>
                </c:pt>
                <c:pt idx="58">
                  <c:v>100.7</c:v>
                </c:pt>
                <c:pt idx="59">
                  <c:v>98.5</c:v>
                </c:pt>
                <c:pt idx="60">
                  <c:v>96.1</c:v>
                </c:pt>
                <c:pt idx="61">
                  <c:v>93.9</c:v>
                </c:pt>
                <c:pt idx="62">
                  <c:v>91.8</c:v>
                </c:pt>
                <c:pt idx="63">
                  <c:v>91.6</c:v>
                </c:pt>
                <c:pt idx="64">
                  <c:v>90.7</c:v>
                </c:pt>
                <c:pt idx="65">
                  <c:v>89.5</c:v>
                </c:pt>
                <c:pt idx="66">
                  <c:v>88.8</c:v>
                </c:pt>
                <c:pt idx="67">
                  <c:v>89.3</c:v>
                </c:pt>
                <c:pt idx="68">
                  <c:v>89.1</c:v>
                </c:pt>
                <c:pt idx="69">
                  <c:v>87.7</c:v>
                </c:pt>
                <c:pt idx="70">
                  <c:v>85.9</c:v>
                </c:pt>
                <c:pt idx="71">
                  <c:v>84.4</c:v>
                </c:pt>
                <c:pt idx="72">
                  <c:v>83.5</c:v>
                </c:pt>
                <c:pt idx="73">
                  <c:v>81.8</c:v>
                </c:pt>
                <c:pt idx="74">
                  <c:v>79.5</c:v>
                </c:pt>
                <c:pt idx="75">
                  <c:v>78.900000000000006</c:v>
                </c:pt>
                <c:pt idx="76">
                  <c:v>77.599999999999994</c:v>
                </c:pt>
                <c:pt idx="77">
                  <c:v>76.5</c:v>
                </c:pt>
                <c:pt idx="78">
                  <c:v>75.400000000000006</c:v>
                </c:pt>
                <c:pt idx="79">
                  <c:v>73.900000000000006</c:v>
                </c:pt>
                <c:pt idx="80">
                  <c:v>71.8</c:v>
                </c:pt>
                <c:pt idx="81">
                  <c:v>70.400000000000006</c:v>
                </c:pt>
                <c:pt idx="82">
                  <c:v>68.900000000000006</c:v>
                </c:pt>
                <c:pt idx="83">
                  <c:v>67.599999999999994</c:v>
                </c:pt>
                <c:pt idx="84">
                  <c:v>66.400000000000006</c:v>
                </c:pt>
                <c:pt idx="85">
                  <c:v>64.599999999999994</c:v>
                </c:pt>
                <c:pt idx="86">
                  <c:v>65.099999999999994</c:v>
                </c:pt>
                <c:pt idx="87">
                  <c:v>64.8</c:v>
                </c:pt>
                <c:pt idx="88">
                  <c:v>64.8</c:v>
                </c:pt>
                <c:pt idx="89">
                  <c:v>65.099999999999994</c:v>
                </c:pt>
                <c:pt idx="90">
                  <c:v>66.5</c:v>
                </c:pt>
                <c:pt idx="91">
                  <c:v>67.400000000000006</c:v>
                </c:pt>
                <c:pt idx="92">
                  <c:v>68.099999999999994</c:v>
                </c:pt>
                <c:pt idx="93">
                  <c:v>68.8</c:v>
                </c:pt>
                <c:pt idx="94">
                  <c:v>69.2</c:v>
                </c:pt>
                <c:pt idx="95">
                  <c:v>70</c:v>
                </c:pt>
                <c:pt idx="96">
                  <c:v>69.400000000000006</c:v>
                </c:pt>
                <c:pt idx="97">
                  <c:v>68.2</c:v>
                </c:pt>
                <c:pt idx="98">
                  <c:v>67.8</c:v>
                </c:pt>
                <c:pt idx="99">
                  <c:v>68.599999999999994</c:v>
                </c:pt>
                <c:pt idx="100">
                  <c:v>69.099999999999994</c:v>
                </c:pt>
                <c:pt idx="101">
                  <c:v>71.599999999999994</c:v>
                </c:pt>
                <c:pt idx="102">
                  <c:v>74.2</c:v>
                </c:pt>
                <c:pt idx="103">
                  <c:v>76</c:v>
                </c:pt>
                <c:pt idx="104">
                  <c:v>77.400000000000006</c:v>
                </c:pt>
                <c:pt idx="105">
                  <c:v>77.900000000000006</c:v>
                </c:pt>
                <c:pt idx="106">
                  <c:v>78.8</c:v>
                </c:pt>
                <c:pt idx="107">
                  <c:v>79.8</c:v>
                </c:pt>
                <c:pt idx="108">
                  <c:v>80.099999999999994</c:v>
                </c:pt>
                <c:pt idx="109">
                  <c:v>80.5</c:v>
                </c:pt>
                <c:pt idx="110">
                  <c:v>81.8</c:v>
                </c:pt>
                <c:pt idx="111">
                  <c:v>84.2</c:v>
                </c:pt>
                <c:pt idx="112">
                  <c:v>87.2</c:v>
                </c:pt>
                <c:pt idx="113">
                  <c:v>90.8</c:v>
                </c:pt>
                <c:pt idx="114">
                  <c:v>94.5</c:v>
                </c:pt>
                <c:pt idx="115">
                  <c:v>96.6</c:v>
                </c:pt>
                <c:pt idx="116">
                  <c:v>99</c:v>
                </c:pt>
                <c:pt idx="117">
                  <c:v>99.5</c:v>
                </c:pt>
                <c:pt idx="118">
                  <c:v>99.3</c:v>
                </c:pt>
                <c:pt idx="119">
                  <c:v>97.9</c:v>
                </c:pt>
                <c:pt idx="120">
                  <c:v>98.3</c:v>
                </c:pt>
                <c:pt idx="121">
                  <c:v>97.9</c:v>
                </c:pt>
                <c:pt idx="122">
                  <c:v>97.8</c:v>
                </c:pt>
                <c:pt idx="123">
                  <c:v>97.9</c:v>
                </c:pt>
                <c:pt idx="124">
                  <c:v>98.5</c:v>
                </c:pt>
                <c:pt idx="125">
                  <c:v>99.9</c:v>
                </c:pt>
                <c:pt idx="126">
                  <c:v>100.4</c:v>
                </c:pt>
                <c:pt idx="127">
                  <c:v>101.4</c:v>
                </c:pt>
                <c:pt idx="128">
                  <c:v>101.4</c:v>
                </c:pt>
                <c:pt idx="129">
                  <c:v>102.6</c:v>
                </c:pt>
                <c:pt idx="130">
                  <c:v>102.2</c:v>
                </c:pt>
                <c:pt idx="131">
                  <c:v>101.6</c:v>
                </c:pt>
                <c:pt idx="132">
                  <c:v>103.1</c:v>
                </c:pt>
                <c:pt idx="133">
                  <c:v>102.3</c:v>
                </c:pt>
                <c:pt idx="134">
                  <c:v>102.6</c:v>
                </c:pt>
                <c:pt idx="135">
                  <c:v>103.2</c:v>
                </c:pt>
                <c:pt idx="136">
                  <c:v>102.9</c:v>
                </c:pt>
                <c:pt idx="137">
                  <c:v>103.1</c:v>
                </c:pt>
                <c:pt idx="138">
                  <c:v>104.4</c:v>
                </c:pt>
                <c:pt idx="139">
                  <c:v>106</c:v>
                </c:pt>
                <c:pt idx="140">
                  <c:v>107.6</c:v>
                </c:pt>
                <c:pt idx="141">
                  <c:v>107.9</c:v>
                </c:pt>
                <c:pt idx="142">
                  <c:v>109.1</c:v>
                </c:pt>
                <c:pt idx="143">
                  <c:v>108.4</c:v>
                </c:pt>
                <c:pt idx="144">
                  <c:v>109</c:v>
                </c:pt>
                <c:pt idx="145">
                  <c:v>109.3</c:v>
                </c:pt>
                <c:pt idx="146">
                  <c:v>110</c:v>
                </c:pt>
                <c:pt idx="147">
                  <c:v>109.2</c:v>
                </c:pt>
                <c:pt idx="148">
                  <c:v>112</c:v>
                </c:pt>
                <c:pt idx="149">
                  <c:v>114.1</c:v>
                </c:pt>
                <c:pt idx="150">
                  <c:v>116.7</c:v>
                </c:pt>
                <c:pt idx="151">
                  <c:v>118.4</c:v>
                </c:pt>
                <c:pt idx="152">
                  <c:v>119.7</c:v>
                </c:pt>
                <c:pt idx="153">
                  <c:v>120.3</c:v>
                </c:pt>
                <c:pt idx="154">
                  <c:v>120.6</c:v>
                </c:pt>
                <c:pt idx="155">
                  <c:v>121.1</c:v>
                </c:pt>
                <c:pt idx="156">
                  <c:v>121.8</c:v>
                </c:pt>
                <c:pt idx="157">
                  <c:v>122.9</c:v>
                </c:pt>
                <c:pt idx="158">
                  <c:v>122.8</c:v>
                </c:pt>
                <c:pt idx="159">
                  <c:v>123.3</c:v>
                </c:pt>
                <c:pt idx="160">
                  <c:v>124.2</c:v>
                </c:pt>
                <c:pt idx="161">
                  <c:v>124.4</c:v>
                </c:pt>
                <c:pt idx="162">
                  <c:v>125.3</c:v>
                </c:pt>
                <c:pt idx="163">
                  <c:v>126.3</c:v>
                </c:pt>
                <c:pt idx="164">
                  <c:v>127.3</c:v>
                </c:pt>
                <c:pt idx="165">
                  <c:v>127.7</c:v>
                </c:pt>
                <c:pt idx="166">
                  <c:v>126.8</c:v>
                </c:pt>
                <c:pt idx="167">
                  <c:v>125.8</c:v>
                </c:pt>
                <c:pt idx="168">
                  <c:v>125.1</c:v>
                </c:pt>
                <c:pt idx="169">
                  <c:v>124.7</c:v>
                </c:pt>
                <c:pt idx="170">
                  <c:v>123.9</c:v>
                </c:pt>
                <c:pt idx="171">
                  <c:v>123.9</c:v>
                </c:pt>
                <c:pt idx="172">
                  <c:v>124.2</c:v>
                </c:pt>
                <c:pt idx="173">
                  <c:v>124.5</c:v>
                </c:pt>
                <c:pt idx="174">
                  <c:v>125.3</c:v>
                </c:pt>
                <c:pt idx="175">
                  <c:v>125.8</c:v>
                </c:pt>
                <c:pt idx="176">
                  <c:v>125.9</c:v>
                </c:pt>
                <c:pt idx="177">
                  <c:v>125.9</c:v>
                </c:pt>
                <c:pt idx="178">
                  <c:v>125.6</c:v>
                </c:pt>
                <c:pt idx="179">
                  <c:v>123.6</c:v>
                </c:pt>
                <c:pt idx="180">
                  <c:v>124.5</c:v>
                </c:pt>
                <c:pt idx="181">
                  <c:v>124.6</c:v>
                </c:pt>
                <c:pt idx="182">
                  <c:v>124.7</c:v>
                </c:pt>
                <c:pt idx="183">
                  <c:v>124.2</c:v>
                </c:pt>
                <c:pt idx="184">
                  <c:v>123.9</c:v>
                </c:pt>
                <c:pt idx="185">
                  <c:v>123.7</c:v>
                </c:pt>
                <c:pt idx="186">
                  <c:v>123.5</c:v>
                </c:pt>
                <c:pt idx="187">
                  <c:v>123.6</c:v>
                </c:pt>
                <c:pt idx="188">
                  <c:v>123.7</c:v>
                </c:pt>
                <c:pt idx="189">
                  <c:v>124.3</c:v>
                </c:pt>
                <c:pt idx="190">
                  <c:v>124.8</c:v>
                </c:pt>
                <c:pt idx="191">
                  <c:v>125.4</c:v>
                </c:pt>
                <c:pt idx="192">
                  <c:v>125.7</c:v>
                </c:pt>
                <c:pt idx="193">
                  <c:v>126.4</c:v>
                </c:pt>
                <c:pt idx="194">
                  <c:v>127.6</c:v>
                </c:pt>
                <c:pt idx="195">
                  <c:v>128.80000000000001</c:v>
                </c:pt>
                <c:pt idx="196">
                  <c:v>129.9</c:v>
                </c:pt>
                <c:pt idx="197">
                  <c:v>131.6</c:v>
                </c:pt>
                <c:pt idx="198">
                  <c:v>133.5</c:v>
                </c:pt>
                <c:pt idx="199">
                  <c:v>136.30000000000001</c:v>
                </c:pt>
                <c:pt idx="200">
                  <c:v>138.1</c:v>
                </c:pt>
                <c:pt idx="201">
                  <c:v>139.30000000000001</c:v>
                </c:pt>
                <c:pt idx="202">
                  <c:v>140.69999999999999</c:v>
                </c:pt>
                <c:pt idx="203">
                  <c:v>141.6</c:v>
                </c:pt>
                <c:pt idx="204">
                  <c:v>142.30000000000001</c:v>
                </c:pt>
                <c:pt idx="205">
                  <c:v>143.5</c:v>
                </c:pt>
              </c:numCache>
            </c:numRef>
          </c:val>
          <c:smooth val="0"/>
          <c:extLst>
            <c:ext xmlns:c16="http://schemas.microsoft.com/office/drawing/2014/chart" uri="{C3380CC4-5D6E-409C-BE32-E72D297353CC}">
              <c16:uniqueId val="{00000001-344F-4E1A-8176-C5DCA4D04C88}"/>
            </c:ext>
          </c:extLst>
        </c:ser>
        <c:ser>
          <c:idx val="2"/>
          <c:order val="2"/>
          <c:tx>
            <c:strRef>
              <c:f>'PRICES CSO'!$D$1</c:f>
              <c:strCache>
                <c:ptCount val="1"/>
                <c:pt idx="0">
                  <c:v>Outside-Dublin</c:v>
                </c:pt>
              </c:strCache>
            </c:strRef>
          </c:tx>
          <c:spPr>
            <a:ln w="28575" cap="rnd">
              <a:solidFill>
                <a:schemeClr val="accent3"/>
              </a:solidFill>
              <a:round/>
            </a:ln>
            <a:effectLst/>
          </c:spPr>
          <c:marker>
            <c:symbol val="none"/>
          </c:marker>
          <c:cat>
            <c:numRef>
              <c:f>'PRICES CSO'!$A$2:$A$207</c:f>
              <c:numCache>
                <c:formatCode>mmm\-yy</c:formatCode>
                <c:ptCount val="206"/>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pt idx="170">
                  <c:v>43525</c:v>
                </c:pt>
                <c:pt idx="171">
                  <c:v>43556</c:v>
                </c:pt>
                <c:pt idx="172">
                  <c:v>43586</c:v>
                </c:pt>
                <c:pt idx="173">
                  <c:v>43617</c:v>
                </c:pt>
                <c:pt idx="174">
                  <c:v>43647</c:v>
                </c:pt>
                <c:pt idx="175">
                  <c:v>43678</c:v>
                </c:pt>
                <c:pt idx="176">
                  <c:v>43709</c:v>
                </c:pt>
                <c:pt idx="177">
                  <c:v>43739</c:v>
                </c:pt>
                <c:pt idx="178">
                  <c:v>43770</c:v>
                </c:pt>
                <c:pt idx="179">
                  <c:v>43800</c:v>
                </c:pt>
                <c:pt idx="180">
                  <c:v>43831</c:v>
                </c:pt>
                <c:pt idx="181">
                  <c:v>43862</c:v>
                </c:pt>
                <c:pt idx="182">
                  <c:v>43891</c:v>
                </c:pt>
                <c:pt idx="183">
                  <c:v>43922</c:v>
                </c:pt>
                <c:pt idx="184">
                  <c:v>43952</c:v>
                </c:pt>
                <c:pt idx="185">
                  <c:v>43983</c:v>
                </c:pt>
                <c:pt idx="186">
                  <c:v>44013</c:v>
                </c:pt>
                <c:pt idx="187">
                  <c:v>44044</c:v>
                </c:pt>
                <c:pt idx="188">
                  <c:v>44075</c:v>
                </c:pt>
                <c:pt idx="189">
                  <c:v>44105</c:v>
                </c:pt>
                <c:pt idx="190">
                  <c:v>44136</c:v>
                </c:pt>
                <c:pt idx="191">
                  <c:v>44166</c:v>
                </c:pt>
                <c:pt idx="192">
                  <c:v>44197</c:v>
                </c:pt>
                <c:pt idx="193">
                  <c:v>44228</c:v>
                </c:pt>
                <c:pt idx="194">
                  <c:v>44256</c:v>
                </c:pt>
                <c:pt idx="195">
                  <c:v>44287</c:v>
                </c:pt>
                <c:pt idx="196">
                  <c:v>44317</c:v>
                </c:pt>
                <c:pt idx="197">
                  <c:v>44348</c:v>
                </c:pt>
                <c:pt idx="198">
                  <c:v>44378</c:v>
                </c:pt>
                <c:pt idx="199">
                  <c:v>44409</c:v>
                </c:pt>
                <c:pt idx="200">
                  <c:v>44440</c:v>
                </c:pt>
                <c:pt idx="201">
                  <c:v>44470</c:v>
                </c:pt>
                <c:pt idx="202">
                  <c:v>44501</c:v>
                </c:pt>
                <c:pt idx="203">
                  <c:v>44531</c:v>
                </c:pt>
                <c:pt idx="204">
                  <c:v>44562</c:v>
                </c:pt>
                <c:pt idx="205">
                  <c:v>44593</c:v>
                </c:pt>
              </c:numCache>
            </c:numRef>
          </c:cat>
          <c:val>
            <c:numRef>
              <c:f>'PRICES CSO'!$D$2:$D$207</c:f>
              <c:numCache>
                <c:formatCode>General</c:formatCode>
                <c:ptCount val="206"/>
                <c:pt idx="0">
                  <c:v>142.1</c:v>
                </c:pt>
                <c:pt idx="1">
                  <c:v>142.19999999999999</c:v>
                </c:pt>
                <c:pt idx="2">
                  <c:v>142.9</c:v>
                </c:pt>
                <c:pt idx="3">
                  <c:v>143.80000000000001</c:v>
                </c:pt>
                <c:pt idx="4">
                  <c:v>144.80000000000001</c:v>
                </c:pt>
                <c:pt idx="5">
                  <c:v>146.69999999999999</c:v>
                </c:pt>
                <c:pt idx="6">
                  <c:v>149.30000000000001</c:v>
                </c:pt>
                <c:pt idx="7">
                  <c:v>151.6</c:v>
                </c:pt>
                <c:pt idx="8">
                  <c:v>152.69999999999999</c:v>
                </c:pt>
                <c:pt idx="9">
                  <c:v>155.30000000000001</c:v>
                </c:pt>
                <c:pt idx="10">
                  <c:v>156.30000000000001</c:v>
                </c:pt>
                <c:pt idx="11">
                  <c:v>158.19999999999999</c:v>
                </c:pt>
                <c:pt idx="12">
                  <c:v>159</c:v>
                </c:pt>
                <c:pt idx="13">
                  <c:v>158.9</c:v>
                </c:pt>
                <c:pt idx="14">
                  <c:v>159.69999999999999</c:v>
                </c:pt>
                <c:pt idx="15">
                  <c:v>161.80000000000001</c:v>
                </c:pt>
                <c:pt idx="16">
                  <c:v>164.6</c:v>
                </c:pt>
                <c:pt idx="17">
                  <c:v>166.9</c:v>
                </c:pt>
                <c:pt idx="18">
                  <c:v>169.7</c:v>
                </c:pt>
                <c:pt idx="19">
                  <c:v>172.8</c:v>
                </c:pt>
                <c:pt idx="20">
                  <c:v>174.9</c:v>
                </c:pt>
                <c:pt idx="21">
                  <c:v>176</c:v>
                </c:pt>
                <c:pt idx="22">
                  <c:v>176.3</c:v>
                </c:pt>
                <c:pt idx="23">
                  <c:v>178.4</c:v>
                </c:pt>
                <c:pt idx="24">
                  <c:v>180.6</c:v>
                </c:pt>
                <c:pt idx="25">
                  <c:v>181.4</c:v>
                </c:pt>
                <c:pt idx="26">
                  <c:v>182.7</c:v>
                </c:pt>
                <c:pt idx="27">
                  <c:v>183.6</c:v>
                </c:pt>
                <c:pt idx="28">
                  <c:v>183.7</c:v>
                </c:pt>
                <c:pt idx="29">
                  <c:v>182.9</c:v>
                </c:pt>
                <c:pt idx="30">
                  <c:v>183.1</c:v>
                </c:pt>
                <c:pt idx="31">
                  <c:v>183</c:v>
                </c:pt>
                <c:pt idx="32">
                  <c:v>182.9</c:v>
                </c:pt>
                <c:pt idx="33">
                  <c:v>182.1</c:v>
                </c:pt>
                <c:pt idx="34">
                  <c:v>182.8</c:v>
                </c:pt>
                <c:pt idx="35">
                  <c:v>182.5</c:v>
                </c:pt>
                <c:pt idx="36">
                  <c:v>182.2</c:v>
                </c:pt>
                <c:pt idx="37">
                  <c:v>180.3</c:v>
                </c:pt>
                <c:pt idx="38">
                  <c:v>178.5</c:v>
                </c:pt>
                <c:pt idx="39">
                  <c:v>176.3</c:v>
                </c:pt>
                <c:pt idx="40">
                  <c:v>173.4</c:v>
                </c:pt>
                <c:pt idx="41">
                  <c:v>171.8</c:v>
                </c:pt>
                <c:pt idx="42">
                  <c:v>171.3</c:v>
                </c:pt>
                <c:pt idx="43">
                  <c:v>169.9</c:v>
                </c:pt>
                <c:pt idx="44">
                  <c:v>169.3</c:v>
                </c:pt>
                <c:pt idx="45">
                  <c:v>166.6</c:v>
                </c:pt>
                <c:pt idx="46">
                  <c:v>164.4</c:v>
                </c:pt>
                <c:pt idx="47">
                  <c:v>161.30000000000001</c:v>
                </c:pt>
                <c:pt idx="48">
                  <c:v>157.4</c:v>
                </c:pt>
                <c:pt idx="49">
                  <c:v>154.19999999999999</c:v>
                </c:pt>
                <c:pt idx="50">
                  <c:v>151</c:v>
                </c:pt>
                <c:pt idx="51">
                  <c:v>148.6</c:v>
                </c:pt>
                <c:pt idx="52">
                  <c:v>145.1</c:v>
                </c:pt>
                <c:pt idx="53">
                  <c:v>142.4</c:v>
                </c:pt>
                <c:pt idx="54">
                  <c:v>140</c:v>
                </c:pt>
                <c:pt idx="55">
                  <c:v>137.30000000000001</c:v>
                </c:pt>
                <c:pt idx="56">
                  <c:v>137.6</c:v>
                </c:pt>
                <c:pt idx="57">
                  <c:v>136.69999999999999</c:v>
                </c:pt>
                <c:pt idx="58">
                  <c:v>137</c:v>
                </c:pt>
                <c:pt idx="59">
                  <c:v>135.69999999999999</c:v>
                </c:pt>
                <c:pt idx="60">
                  <c:v>135.30000000000001</c:v>
                </c:pt>
                <c:pt idx="61">
                  <c:v>133.69999999999999</c:v>
                </c:pt>
                <c:pt idx="62">
                  <c:v>132.9</c:v>
                </c:pt>
                <c:pt idx="63">
                  <c:v>131.80000000000001</c:v>
                </c:pt>
                <c:pt idx="64">
                  <c:v>128.80000000000001</c:v>
                </c:pt>
                <c:pt idx="65">
                  <c:v>127.8</c:v>
                </c:pt>
                <c:pt idx="66">
                  <c:v>126.2</c:v>
                </c:pt>
                <c:pt idx="67">
                  <c:v>125</c:v>
                </c:pt>
                <c:pt idx="68">
                  <c:v>122.4</c:v>
                </c:pt>
                <c:pt idx="69">
                  <c:v>120.2</c:v>
                </c:pt>
                <c:pt idx="70">
                  <c:v>117.7</c:v>
                </c:pt>
                <c:pt idx="71">
                  <c:v>116.3</c:v>
                </c:pt>
                <c:pt idx="72">
                  <c:v>115.5</c:v>
                </c:pt>
                <c:pt idx="73">
                  <c:v>113.4</c:v>
                </c:pt>
                <c:pt idx="74">
                  <c:v>110.9</c:v>
                </c:pt>
                <c:pt idx="75">
                  <c:v>108.9</c:v>
                </c:pt>
                <c:pt idx="76">
                  <c:v>106.9</c:v>
                </c:pt>
                <c:pt idx="77">
                  <c:v>105.3</c:v>
                </c:pt>
                <c:pt idx="78">
                  <c:v>102.5</c:v>
                </c:pt>
                <c:pt idx="79">
                  <c:v>99.4</c:v>
                </c:pt>
                <c:pt idx="80">
                  <c:v>97.8</c:v>
                </c:pt>
                <c:pt idx="81">
                  <c:v>96.3</c:v>
                </c:pt>
                <c:pt idx="82">
                  <c:v>95.1</c:v>
                </c:pt>
                <c:pt idx="83">
                  <c:v>93.9</c:v>
                </c:pt>
                <c:pt idx="84">
                  <c:v>92.5</c:v>
                </c:pt>
                <c:pt idx="85">
                  <c:v>90.8</c:v>
                </c:pt>
                <c:pt idx="86">
                  <c:v>91.1</c:v>
                </c:pt>
                <c:pt idx="87">
                  <c:v>88.7</c:v>
                </c:pt>
                <c:pt idx="88">
                  <c:v>88.1</c:v>
                </c:pt>
                <c:pt idx="89">
                  <c:v>87.3</c:v>
                </c:pt>
                <c:pt idx="90">
                  <c:v>87.4</c:v>
                </c:pt>
                <c:pt idx="91">
                  <c:v>86.6</c:v>
                </c:pt>
                <c:pt idx="92">
                  <c:v>87</c:v>
                </c:pt>
                <c:pt idx="93">
                  <c:v>86.8</c:v>
                </c:pt>
                <c:pt idx="94">
                  <c:v>85.6</c:v>
                </c:pt>
                <c:pt idx="95">
                  <c:v>85.3</c:v>
                </c:pt>
                <c:pt idx="96">
                  <c:v>82.9</c:v>
                </c:pt>
                <c:pt idx="97">
                  <c:v>82.5</c:v>
                </c:pt>
                <c:pt idx="98">
                  <c:v>80.7</c:v>
                </c:pt>
                <c:pt idx="99">
                  <c:v>80.5</c:v>
                </c:pt>
                <c:pt idx="100">
                  <c:v>79.8</c:v>
                </c:pt>
                <c:pt idx="101">
                  <c:v>80.900000000000006</c:v>
                </c:pt>
                <c:pt idx="102">
                  <c:v>81.599999999999994</c:v>
                </c:pt>
                <c:pt idx="103">
                  <c:v>81.8</c:v>
                </c:pt>
                <c:pt idx="104">
                  <c:v>82.9</c:v>
                </c:pt>
                <c:pt idx="105">
                  <c:v>83.4</c:v>
                </c:pt>
                <c:pt idx="106">
                  <c:v>83</c:v>
                </c:pt>
                <c:pt idx="107">
                  <c:v>84</c:v>
                </c:pt>
                <c:pt idx="108">
                  <c:v>83.7</c:v>
                </c:pt>
                <c:pt idx="109">
                  <c:v>84</c:v>
                </c:pt>
                <c:pt idx="110">
                  <c:v>83.6</c:v>
                </c:pt>
                <c:pt idx="111">
                  <c:v>84.6</c:v>
                </c:pt>
                <c:pt idx="112">
                  <c:v>86</c:v>
                </c:pt>
                <c:pt idx="113">
                  <c:v>87</c:v>
                </c:pt>
                <c:pt idx="114">
                  <c:v>88.5</c:v>
                </c:pt>
                <c:pt idx="115">
                  <c:v>90</c:v>
                </c:pt>
                <c:pt idx="116">
                  <c:v>91.5</c:v>
                </c:pt>
                <c:pt idx="117">
                  <c:v>93.1</c:v>
                </c:pt>
                <c:pt idx="118">
                  <c:v>94.2</c:v>
                </c:pt>
                <c:pt idx="119">
                  <c:v>94.3</c:v>
                </c:pt>
                <c:pt idx="120">
                  <c:v>94.6</c:v>
                </c:pt>
                <c:pt idx="121">
                  <c:v>94.5</c:v>
                </c:pt>
                <c:pt idx="122">
                  <c:v>95.2</c:v>
                </c:pt>
                <c:pt idx="123">
                  <c:v>96.7</c:v>
                </c:pt>
                <c:pt idx="124">
                  <c:v>98.4</c:v>
                </c:pt>
                <c:pt idx="125">
                  <c:v>100.1</c:v>
                </c:pt>
                <c:pt idx="126">
                  <c:v>101.2</c:v>
                </c:pt>
                <c:pt idx="127">
                  <c:v>102.6</c:v>
                </c:pt>
                <c:pt idx="128">
                  <c:v>103.4</c:v>
                </c:pt>
                <c:pt idx="129">
                  <c:v>104.5</c:v>
                </c:pt>
                <c:pt idx="130">
                  <c:v>104.3</c:v>
                </c:pt>
                <c:pt idx="131">
                  <c:v>104.4</c:v>
                </c:pt>
                <c:pt idx="132">
                  <c:v>104.9</c:v>
                </c:pt>
                <c:pt idx="133">
                  <c:v>104.4</c:v>
                </c:pt>
                <c:pt idx="134">
                  <c:v>104.8</c:v>
                </c:pt>
                <c:pt idx="135">
                  <c:v>105.5</c:v>
                </c:pt>
                <c:pt idx="136">
                  <c:v>106.2</c:v>
                </c:pt>
                <c:pt idx="137">
                  <c:v>108.2</c:v>
                </c:pt>
                <c:pt idx="138">
                  <c:v>111.5</c:v>
                </c:pt>
                <c:pt idx="139">
                  <c:v>112.9</c:v>
                </c:pt>
                <c:pt idx="140">
                  <c:v>113.9</c:v>
                </c:pt>
                <c:pt idx="141">
                  <c:v>114.7</c:v>
                </c:pt>
                <c:pt idx="142">
                  <c:v>116.4</c:v>
                </c:pt>
                <c:pt idx="143">
                  <c:v>116.2</c:v>
                </c:pt>
                <c:pt idx="144">
                  <c:v>117.1</c:v>
                </c:pt>
                <c:pt idx="145">
                  <c:v>117.5</c:v>
                </c:pt>
                <c:pt idx="146">
                  <c:v>117.7</c:v>
                </c:pt>
                <c:pt idx="147">
                  <c:v>119.5</c:v>
                </c:pt>
                <c:pt idx="148">
                  <c:v>120</c:v>
                </c:pt>
                <c:pt idx="149">
                  <c:v>120.9</c:v>
                </c:pt>
                <c:pt idx="150">
                  <c:v>124.3</c:v>
                </c:pt>
                <c:pt idx="151">
                  <c:v>126.2</c:v>
                </c:pt>
                <c:pt idx="152">
                  <c:v>128.1</c:v>
                </c:pt>
                <c:pt idx="153">
                  <c:v>128.4</c:v>
                </c:pt>
                <c:pt idx="154">
                  <c:v>130.1</c:v>
                </c:pt>
                <c:pt idx="155">
                  <c:v>130.80000000000001</c:v>
                </c:pt>
                <c:pt idx="156">
                  <c:v>131.30000000000001</c:v>
                </c:pt>
                <c:pt idx="157">
                  <c:v>132</c:v>
                </c:pt>
                <c:pt idx="158">
                  <c:v>133.80000000000001</c:v>
                </c:pt>
                <c:pt idx="159">
                  <c:v>136</c:v>
                </c:pt>
                <c:pt idx="160">
                  <c:v>136.69999999999999</c:v>
                </c:pt>
                <c:pt idx="161">
                  <c:v>139.30000000000001</c:v>
                </c:pt>
                <c:pt idx="162">
                  <c:v>140</c:v>
                </c:pt>
                <c:pt idx="163">
                  <c:v>140.4</c:v>
                </c:pt>
                <c:pt idx="164">
                  <c:v>141.9</c:v>
                </c:pt>
                <c:pt idx="165">
                  <c:v>142.1</c:v>
                </c:pt>
                <c:pt idx="166">
                  <c:v>142.1</c:v>
                </c:pt>
                <c:pt idx="167">
                  <c:v>142.4</c:v>
                </c:pt>
                <c:pt idx="168">
                  <c:v>141.6</c:v>
                </c:pt>
                <c:pt idx="169">
                  <c:v>141.6</c:v>
                </c:pt>
                <c:pt idx="170">
                  <c:v>142.9</c:v>
                </c:pt>
                <c:pt idx="171">
                  <c:v>143.4</c:v>
                </c:pt>
                <c:pt idx="172">
                  <c:v>143.9</c:v>
                </c:pt>
                <c:pt idx="173">
                  <c:v>144.80000000000001</c:v>
                </c:pt>
                <c:pt idx="174">
                  <c:v>146.19999999999999</c:v>
                </c:pt>
                <c:pt idx="175">
                  <c:v>146.5</c:v>
                </c:pt>
                <c:pt idx="176">
                  <c:v>146.69999999999999</c:v>
                </c:pt>
                <c:pt idx="177">
                  <c:v>147</c:v>
                </c:pt>
                <c:pt idx="178">
                  <c:v>146.80000000000001</c:v>
                </c:pt>
                <c:pt idx="179">
                  <c:v>145.9</c:v>
                </c:pt>
                <c:pt idx="180">
                  <c:v>145.30000000000001</c:v>
                </c:pt>
                <c:pt idx="181">
                  <c:v>144.80000000000001</c:v>
                </c:pt>
                <c:pt idx="182">
                  <c:v>144.69999999999999</c:v>
                </c:pt>
                <c:pt idx="183">
                  <c:v>145.1</c:v>
                </c:pt>
                <c:pt idx="184">
                  <c:v>145.19999999999999</c:v>
                </c:pt>
                <c:pt idx="185">
                  <c:v>145.69999999999999</c:v>
                </c:pt>
                <c:pt idx="186">
                  <c:v>146.30000000000001</c:v>
                </c:pt>
                <c:pt idx="187">
                  <c:v>146.4</c:v>
                </c:pt>
                <c:pt idx="188">
                  <c:v>146.9</c:v>
                </c:pt>
                <c:pt idx="189">
                  <c:v>147.5</c:v>
                </c:pt>
                <c:pt idx="190">
                  <c:v>148.69999999999999</c:v>
                </c:pt>
                <c:pt idx="191">
                  <c:v>150.19999999999999</c:v>
                </c:pt>
                <c:pt idx="192">
                  <c:v>151</c:v>
                </c:pt>
                <c:pt idx="193">
                  <c:v>151.19999999999999</c:v>
                </c:pt>
                <c:pt idx="194">
                  <c:v>151.5</c:v>
                </c:pt>
                <c:pt idx="195">
                  <c:v>152.80000000000001</c:v>
                </c:pt>
                <c:pt idx="196">
                  <c:v>154</c:v>
                </c:pt>
                <c:pt idx="197">
                  <c:v>156.4</c:v>
                </c:pt>
                <c:pt idx="198">
                  <c:v>159.30000000000001</c:v>
                </c:pt>
                <c:pt idx="199">
                  <c:v>163.1</c:v>
                </c:pt>
                <c:pt idx="200">
                  <c:v>166.1</c:v>
                </c:pt>
                <c:pt idx="201">
                  <c:v>168.5</c:v>
                </c:pt>
                <c:pt idx="202">
                  <c:v>171</c:v>
                </c:pt>
                <c:pt idx="203">
                  <c:v>173.1</c:v>
                </c:pt>
                <c:pt idx="204">
                  <c:v>175.2</c:v>
                </c:pt>
                <c:pt idx="205">
                  <c:v>176.6</c:v>
                </c:pt>
              </c:numCache>
            </c:numRef>
          </c:val>
          <c:smooth val="0"/>
          <c:extLst>
            <c:ext xmlns:c16="http://schemas.microsoft.com/office/drawing/2014/chart" uri="{C3380CC4-5D6E-409C-BE32-E72D297353CC}">
              <c16:uniqueId val="{00000002-344F-4E1A-8176-C5DCA4D04C88}"/>
            </c:ext>
          </c:extLst>
        </c:ser>
        <c:dLbls>
          <c:showLegendKey val="0"/>
          <c:showVal val="0"/>
          <c:showCatName val="0"/>
          <c:showSerName val="0"/>
          <c:showPercent val="0"/>
          <c:showBubbleSize val="0"/>
        </c:dLbls>
        <c:smooth val="0"/>
        <c:axId val="613125928"/>
        <c:axId val="613123304"/>
      </c:lineChart>
      <c:dateAx>
        <c:axId val="61312592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23304"/>
        <c:crosses val="autoZero"/>
        <c:auto val="1"/>
        <c:lblOffset val="100"/>
        <c:baseTimeUnit val="months"/>
      </c:dateAx>
      <c:valAx>
        <c:axId val="613123304"/>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25928"/>
        <c:crosses val="autoZero"/>
        <c:crossBetween val="between"/>
      </c:valAx>
      <c:spPr>
        <a:noFill/>
        <a:ln>
          <a:noFill/>
        </a:ln>
        <a:effectLst/>
      </c:spPr>
    </c:plotArea>
    <c:legend>
      <c:legendPos val="b"/>
      <c:layout>
        <c:manualLayout>
          <c:xMode val="edge"/>
          <c:yMode val="edge"/>
          <c:x val="4.5571236899176651E-2"/>
          <c:y val="0.92187445319335082"/>
          <c:w val="0.92658391942088558"/>
          <c:h val="7.812554680664918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'NO PRIVATE TENANCIES'!$F$47:$F$62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'NO PRIVATE TENANCIES'!$G$47:$G$62</c:f>
              <c:numCache>
                <c:formatCode>_-* #,##0_-;\-* #,##0_-;_-* "-"??_-;_-@_-</c:formatCode>
                <c:ptCount val="16"/>
                <c:pt idx="0">
                  <c:v>83983</c:v>
                </c:pt>
                <c:pt idx="1">
                  <c:v>137961</c:v>
                </c:pt>
                <c:pt idx="2">
                  <c:v>202078</c:v>
                </c:pt>
                <c:pt idx="3">
                  <c:v>206054</c:v>
                </c:pt>
                <c:pt idx="4">
                  <c:v>234582</c:v>
                </c:pt>
                <c:pt idx="5">
                  <c:v>231818</c:v>
                </c:pt>
                <c:pt idx="6">
                  <c:v>260144</c:v>
                </c:pt>
                <c:pt idx="7">
                  <c:v>264434</c:v>
                </c:pt>
                <c:pt idx="8">
                  <c:v>282918</c:v>
                </c:pt>
                <c:pt idx="9">
                  <c:v>303574</c:v>
                </c:pt>
                <c:pt idx="10">
                  <c:v>319609</c:v>
                </c:pt>
                <c:pt idx="11">
                  <c:v>319822</c:v>
                </c:pt>
                <c:pt idx="12">
                  <c:v>313002</c:v>
                </c:pt>
                <c:pt idx="13">
                  <c:v>307348</c:v>
                </c:pt>
                <c:pt idx="14">
                  <c:v>303023</c:v>
                </c:pt>
                <c:pt idx="15">
                  <c:v>297837</c:v>
                </c:pt>
              </c:numCache>
            </c:numRef>
          </c:val>
          <c:smooth val="0"/>
          <c:extLst>
            <c:ext xmlns:c16="http://schemas.microsoft.com/office/drawing/2014/chart" uri="{C3380CC4-5D6E-409C-BE32-E72D297353CC}">
              <c16:uniqueId val="{00000000-EB7D-41B5-82D5-FFA890F8BE96}"/>
            </c:ext>
          </c:extLst>
        </c:ser>
        <c:dLbls>
          <c:showLegendKey val="0"/>
          <c:showVal val="0"/>
          <c:showCatName val="0"/>
          <c:showSerName val="0"/>
          <c:showPercent val="0"/>
          <c:showBubbleSize val="0"/>
        </c:dLbls>
        <c:smooth val="0"/>
        <c:axId val="649539824"/>
        <c:axId val="649537528"/>
      </c:lineChart>
      <c:catAx>
        <c:axId val="64953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649537528"/>
        <c:crosses val="autoZero"/>
        <c:auto val="1"/>
        <c:lblAlgn val="ctr"/>
        <c:lblOffset val="100"/>
        <c:noMultiLvlLbl val="0"/>
      </c:catAx>
      <c:valAx>
        <c:axId val="64953752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39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'NO PRIVATE TENANCIES'!$A$29:$A$41</c:f>
              <c:strCache>
                <c:ptCount val="13"/>
                <c:pt idx="0">
                  <c:v>Q4 2017</c:v>
                </c:pt>
                <c:pt idx="1">
                  <c:v>Q1 2018</c:v>
                </c:pt>
                <c:pt idx="2">
                  <c:v>Q2 2018</c:v>
                </c:pt>
                <c:pt idx="3">
                  <c:v>Q3 2018</c:v>
                </c:pt>
                <c:pt idx="4">
                  <c:v>Q4 2018</c:v>
                </c:pt>
                <c:pt idx="5">
                  <c:v>Q1 2019</c:v>
                </c:pt>
                <c:pt idx="6">
                  <c:v>Q2 2019</c:v>
                </c:pt>
                <c:pt idx="7">
                  <c:v>Q3 2019</c:v>
                </c:pt>
                <c:pt idx="8">
                  <c:v>Q4 2019</c:v>
                </c:pt>
                <c:pt idx="9">
                  <c:v>Q1 2020</c:v>
                </c:pt>
                <c:pt idx="10">
                  <c:v>Q2  2020</c:v>
                </c:pt>
                <c:pt idx="11">
                  <c:v>Q3 2020</c:v>
                </c:pt>
                <c:pt idx="12">
                  <c:v>Q4 2020</c:v>
                </c:pt>
              </c:strCache>
            </c:strRef>
          </c:cat>
          <c:val>
            <c:numRef>
              <c:f>'NO PRIVATE TENANCIES'!$B$29:$B$41</c:f>
              <c:numCache>
                <c:formatCode>#,##0</c:formatCode>
                <c:ptCount val="13"/>
                <c:pt idx="0">
                  <c:v>173197</c:v>
                </c:pt>
                <c:pt idx="1">
                  <c:v>173346</c:v>
                </c:pt>
                <c:pt idx="2">
                  <c:v>173394</c:v>
                </c:pt>
                <c:pt idx="3">
                  <c:v>172280</c:v>
                </c:pt>
                <c:pt idx="4">
                  <c:v>172560</c:v>
                </c:pt>
                <c:pt idx="5">
                  <c:v>173675</c:v>
                </c:pt>
                <c:pt idx="6">
                  <c:v>173624</c:v>
                </c:pt>
                <c:pt idx="7">
                  <c:v>171369</c:v>
                </c:pt>
                <c:pt idx="8">
                  <c:v>169960</c:v>
                </c:pt>
                <c:pt idx="9">
                  <c:v>169593</c:v>
                </c:pt>
                <c:pt idx="10">
                  <c:v>168106</c:v>
                </c:pt>
                <c:pt idx="11">
                  <c:v>166615</c:v>
                </c:pt>
                <c:pt idx="12">
                  <c:v>165736</c:v>
                </c:pt>
              </c:numCache>
            </c:numRef>
          </c:val>
          <c:smooth val="0"/>
          <c:extLst>
            <c:ext xmlns:c16="http://schemas.microsoft.com/office/drawing/2014/chart" uri="{C3380CC4-5D6E-409C-BE32-E72D297353CC}">
              <c16:uniqueId val="{00000000-EDC4-429C-A745-46C99455AE7F}"/>
            </c:ext>
          </c:extLst>
        </c:ser>
        <c:dLbls>
          <c:showLegendKey val="0"/>
          <c:showVal val="0"/>
          <c:showCatName val="0"/>
          <c:showSerName val="0"/>
          <c:showPercent val="0"/>
          <c:showBubbleSize val="0"/>
        </c:dLbls>
        <c:smooth val="0"/>
        <c:axId val="506694512"/>
        <c:axId val="506695496"/>
      </c:lineChart>
      <c:catAx>
        <c:axId val="50669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06695496"/>
        <c:crosses val="autoZero"/>
        <c:auto val="1"/>
        <c:lblAlgn val="ctr"/>
        <c:lblOffset val="100"/>
        <c:noMultiLvlLbl val="0"/>
      </c:catAx>
      <c:valAx>
        <c:axId val="506695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694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'IPOA IPAV SURVEY'!$A$2:$A$7</c:f>
              <c:strCache>
                <c:ptCount val="6"/>
                <c:pt idx="0">
                  <c:v>Regulations are too onerous</c:v>
                </c:pt>
                <c:pt idx="1">
                  <c:v>It does not make financial sense</c:v>
                </c:pt>
                <c:pt idx="2">
                  <c:v>Too much ongoing change to regulations making it diffucult to operate/plan</c:v>
                </c:pt>
                <c:pt idx="3">
                  <c:v>Fearful the Government policy will severely impact on the value of my property</c:v>
                </c:pt>
                <c:pt idx="4">
                  <c:v>Had a bad experience with my tenant</c:v>
                </c:pt>
                <c:pt idx="5">
                  <c:v>Want to realise the value in my investment for other purposes</c:v>
                </c:pt>
              </c:strCache>
            </c:strRef>
          </c:cat>
          <c:val>
            <c:numRef>
              <c:f>'IPOA IPAV SURVEY'!$B$2:$B$7</c:f>
              <c:numCache>
                <c:formatCode>0.00%</c:formatCode>
                <c:ptCount val="6"/>
                <c:pt idx="0">
                  <c:v>0.73799999999999999</c:v>
                </c:pt>
                <c:pt idx="1">
                  <c:v>0.57599999999999996</c:v>
                </c:pt>
                <c:pt idx="2" formatCode="0%">
                  <c:v>0.71</c:v>
                </c:pt>
                <c:pt idx="3">
                  <c:v>0.60899999999999999</c:v>
                </c:pt>
                <c:pt idx="4">
                  <c:v>0.313</c:v>
                </c:pt>
                <c:pt idx="5">
                  <c:v>0.106</c:v>
                </c:pt>
              </c:numCache>
            </c:numRef>
          </c:val>
          <c:extLst>
            <c:ext xmlns:c16="http://schemas.microsoft.com/office/drawing/2014/chart" uri="{C3380CC4-5D6E-409C-BE32-E72D297353CC}">
              <c16:uniqueId val="{00000000-8E5D-4DB1-B583-81C51FE87A16}"/>
            </c:ext>
          </c:extLst>
        </c:ser>
        <c:dLbls>
          <c:dLblPos val="outEnd"/>
          <c:showLegendKey val="0"/>
          <c:showVal val="1"/>
          <c:showCatName val="0"/>
          <c:showSerName val="0"/>
          <c:showPercent val="0"/>
          <c:showBubbleSize val="0"/>
        </c:dLbls>
        <c:gapWidth val="444"/>
        <c:overlap val="-90"/>
        <c:axId val="695732768"/>
        <c:axId val="695733096"/>
      </c:barChart>
      <c:catAx>
        <c:axId val="695732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95733096"/>
        <c:crosses val="autoZero"/>
        <c:auto val="1"/>
        <c:lblAlgn val="ctr"/>
        <c:lblOffset val="100"/>
        <c:noMultiLvlLbl val="0"/>
      </c:catAx>
      <c:valAx>
        <c:axId val="695733096"/>
        <c:scaling>
          <c:orientation val="minMax"/>
        </c:scaling>
        <c:delete val="1"/>
        <c:axPos val="l"/>
        <c:numFmt formatCode="0.00%" sourceLinked="1"/>
        <c:majorTickMark val="none"/>
        <c:minorTickMark val="none"/>
        <c:tickLblPos val="nextTo"/>
        <c:crossAx val="69573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'IPOA IPAV SURVEY'!$A$29:$A$33</c:f>
              <c:strCache>
                <c:ptCount val="5"/>
                <c:pt idx="0">
                  <c:v>1 - 25%</c:v>
                </c:pt>
                <c:pt idx="1">
                  <c:v>26 - 49%</c:v>
                </c:pt>
                <c:pt idx="2">
                  <c:v>50 - 75%</c:v>
                </c:pt>
                <c:pt idx="3">
                  <c:v>76 - 89%</c:v>
                </c:pt>
                <c:pt idx="4">
                  <c:v>90% +</c:v>
                </c:pt>
              </c:strCache>
            </c:strRef>
          </c:cat>
          <c:val>
            <c:numRef>
              <c:f>'IPOA IPAV SURVEY'!$B$29:$B$33</c:f>
              <c:numCache>
                <c:formatCode>0.00%</c:formatCode>
                <c:ptCount val="5"/>
                <c:pt idx="0">
                  <c:v>0.24399999999999999</c:v>
                </c:pt>
                <c:pt idx="1">
                  <c:v>0.5</c:v>
                </c:pt>
                <c:pt idx="2">
                  <c:v>0.17899999999999999</c:v>
                </c:pt>
                <c:pt idx="3">
                  <c:v>4.7E-2</c:v>
                </c:pt>
                <c:pt idx="4">
                  <c:v>0.03</c:v>
                </c:pt>
              </c:numCache>
            </c:numRef>
          </c:val>
          <c:extLst>
            <c:ext xmlns:c16="http://schemas.microsoft.com/office/drawing/2014/chart" uri="{C3380CC4-5D6E-409C-BE32-E72D297353CC}">
              <c16:uniqueId val="{00000000-B7AA-4053-969D-C85EB0BA0AF2}"/>
            </c:ext>
          </c:extLst>
        </c:ser>
        <c:dLbls>
          <c:dLblPos val="outEnd"/>
          <c:showLegendKey val="0"/>
          <c:showVal val="1"/>
          <c:showCatName val="0"/>
          <c:showSerName val="0"/>
          <c:showPercent val="0"/>
          <c:showBubbleSize val="0"/>
        </c:dLbls>
        <c:gapWidth val="444"/>
        <c:overlap val="-90"/>
        <c:axId val="792634896"/>
        <c:axId val="792637848"/>
      </c:barChart>
      <c:catAx>
        <c:axId val="792634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mn-lt"/>
                <a:ea typeface="+mn-ea"/>
                <a:cs typeface="+mn-cs"/>
              </a:defRPr>
            </a:pPr>
            <a:endParaRPr lang="en-US"/>
          </a:p>
        </c:txPr>
        <c:crossAx val="792637848"/>
        <c:crosses val="autoZero"/>
        <c:auto val="1"/>
        <c:lblAlgn val="ctr"/>
        <c:lblOffset val="100"/>
        <c:noMultiLvlLbl val="0"/>
      </c:catAx>
      <c:valAx>
        <c:axId val="792637848"/>
        <c:scaling>
          <c:orientation val="minMax"/>
        </c:scaling>
        <c:delete val="1"/>
        <c:axPos val="l"/>
        <c:numFmt formatCode="0.00%" sourceLinked="1"/>
        <c:majorTickMark val="none"/>
        <c:minorTickMark val="none"/>
        <c:tickLblPos val="nextTo"/>
        <c:crossAx val="792634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'MORTGAGE VALUE'!$B$1:$R$1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'MORTGAGE VALUE'!$B$2:$R$2</c:f>
              <c:numCache>
                <c:formatCode>#,##0</c:formatCode>
                <c:ptCount val="17"/>
                <c:pt idx="0">
                  <c:v>34114</c:v>
                </c:pt>
                <c:pt idx="1">
                  <c:v>39872</c:v>
                </c:pt>
                <c:pt idx="2">
                  <c:v>33808</c:v>
                </c:pt>
                <c:pt idx="3">
                  <c:v>23049</c:v>
                </c:pt>
                <c:pt idx="4">
                  <c:v>8076</c:v>
                </c:pt>
                <c:pt idx="5">
                  <c:v>4746</c:v>
                </c:pt>
                <c:pt idx="6">
                  <c:v>2463</c:v>
                </c:pt>
                <c:pt idx="7">
                  <c:v>2636</c:v>
                </c:pt>
                <c:pt idx="8">
                  <c:v>2495</c:v>
                </c:pt>
                <c:pt idx="9">
                  <c:v>3855</c:v>
                </c:pt>
                <c:pt idx="10">
                  <c:v>4866</c:v>
                </c:pt>
                <c:pt idx="11">
                  <c:v>5656</c:v>
                </c:pt>
                <c:pt idx="12">
                  <c:v>7286</c:v>
                </c:pt>
                <c:pt idx="13">
                  <c:v>8722</c:v>
                </c:pt>
                <c:pt idx="14">
                  <c:v>9541</c:v>
                </c:pt>
                <c:pt idx="15">
                  <c:v>8365</c:v>
                </c:pt>
                <c:pt idx="16">
                  <c:v>10468</c:v>
                </c:pt>
              </c:numCache>
            </c:numRef>
          </c:val>
          <c:extLst>
            <c:ext xmlns:c16="http://schemas.microsoft.com/office/drawing/2014/chart" uri="{C3380CC4-5D6E-409C-BE32-E72D297353CC}">
              <c16:uniqueId val="{00000000-43D3-4972-A81C-451AD19D179E}"/>
            </c:ext>
          </c:extLst>
        </c:ser>
        <c:dLbls>
          <c:showLegendKey val="0"/>
          <c:showVal val="0"/>
          <c:showCatName val="0"/>
          <c:showSerName val="0"/>
          <c:showPercent val="0"/>
          <c:showBubbleSize val="0"/>
        </c:dLbls>
        <c:gapWidth val="300"/>
        <c:shape val="box"/>
        <c:axId val="549249784"/>
        <c:axId val="549250112"/>
        <c:axId val="0"/>
      </c:bar3DChart>
      <c:catAx>
        <c:axId val="549249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49250112"/>
        <c:crosses val="autoZero"/>
        <c:auto val="1"/>
        <c:lblAlgn val="ctr"/>
        <c:lblOffset val="100"/>
        <c:noMultiLvlLbl val="0"/>
      </c:catAx>
      <c:valAx>
        <c:axId val="5492501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249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'MORTGAGE VALUE'!$K$29:$AA$29</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'MORTGAGE VALUE'!$K$30:$AA$30</c:f>
              <c:numCache>
                <c:formatCode>#,##0</c:formatCode>
                <c:ptCount val="17"/>
                <c:pt idx="0">
                  <c:v>6283</c:v>
                </c:pt>
                <c:pt idx="1">
                  <c:v>7950</c:v>
                </c:pt>
                <c:pt idx="2">
                  <c:v>6512</c:v>
                </c:pt>
                <c:pt idx="3">
                  <c:v>4096</c:v>
                </c:pt>
                <c:pt idx="4">
                  <c:v>799</c:v>
                </c:pt>
                <c:pt idx="5">
                  <c:v>218</c:v>
                </c:pt>
                <c:pt idx="6">
                  <c:v>79</c:v>
                </c:pt>
                <c:pt idx="7" formatCode="General">
                  <c:v>85</c:v>
                </c:pt>
                <c:pt idx="8" formatCode="General">
                  <c:v>70</c:v>
                </c:pt>
                <c:pt idx="9" formatCode="General">
                  <c:v>115</c:v>
                </c:pt>
                <c:pt idx="10" formatCode="General">
                  <c:v>149</c:v>
                </c:pt>
                <c:pt idx="11" formatCode="General">
                  <c:v>159</c:v>
                </c:pt>
                <c:pt idx="12" formatCode="General">
                  <c:v>180</c:v>
                </c:pt>
                <c:pt idx="13" formatCode="General">
                  <c:v>216</c:v>
                </c:pt>
                <c:pt idx="14" formatCode="General">
                  <c:v>184</c:v>
                </c:pt>
                <c:pt idx="15" formatCode="General">
                  <c:v>119</c:v>
                </c:pt>
                <c:pt idx="16" formatCode="General">
                  <c:v>143</c:v>
                </c:pt>
              </c:numCache>
            </c:numRef>
          </c:val>
          <c:smooth val="0"/>
          <c:extLst>
            <c:ext xmlns:c16="http://schemas.microsoft.com/office/drawing/2014/chart" uri="{C3380CC4-5D6E-409C-BE32-E72D297353CC}">
              <c16:uniqueId val="{00000000-BDD1-403F-A08D-B4762DE3CBF2}"/>
            </c:ext>
          </c:extLst>
        </c:ser>
        <c:dLbls>
          <c:showLegendKey val="0"/>
          <c:showVal val="0"/>
          <c:showCatName val="0"/>
          <c:showSerName val="0"/>
          <c:showPercent val="0"/>
          <c:showBubbleSize val="0"/>
        </c:dLbls>
        <c:smooth val="0"/>
        <c:axId val="758751344"/>
        <c:axId val="758755936"/>
      </c:lineChart>
      <c:catAx>
        <c:axId val="75875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58755936"/>
        <c:crosses val="autoZero"/>
        <c:auto val="1"/>
        <c:lblAlgn val="ctr"/>
        <c:lblOffset val="100"/>
        <c:noMultiLvlLbl val="0"/>
      </c:catAx>
      <c:valAx>
        <c:axId val="75875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51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PLANNING!$O$2:$O$23</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PLANNING!$P$2:$P$23</c:f>
              <c:numCache>
                <c:formatCode>General</c:formatCode>
                <c:ptCount val="22"/>
                <c:pt idx="0">
                  <c:v>91243</c:v>
                </c:pt>
                <c:pt idx="1">
                  <c:v>78509</c:v>
                </c:pt>
                <c:pt idx="2">
                  <c:v>69314</c:v>
                </c:pt>
                <c:pt idx="3">
                  <c:v>78354</c:v>
                </c:pt>
                <c:pt idx="4">
                  <c:v>101653</c:v>
                </c:pt>
                <c:pt idx="5">
                  <c:v>99352</c:v>
                </c:pt>
                <c:pt idx="6">
                  <c:v>78755</c:v>
                </c:pt>
                <c:pt idx="7">
                  <c:v>84397</c:v>
                </c:pt>
                <c:pt idx="8">
                  <c:v>67584</c:v>
                </c:pt>
                <c:pt idx="9">
                  <c:v>40556</c:v>
                </c:pt>
                <c:pt idx="10">
                  <c:v>18478</c:v>
                </c:pt>
                <c:pt idx="11">
                  <c:v>11645</c:v>
                </c:pt>
                <c:pt idx="12">
                  <c:v>6250</c:v>
                </c:pt>
                <c:pt idx="13">
                  <c:v>7199</c:v>
                </c:pt>
                <c:pt idx="14">
                  <c:v>7411</c:v>
                </c:pt>
                <c:pt idx="15">
                  <c:v>13044</c:v>
                </c:pt>
                <c:pt idx="16">
                  <c:v>15950</c:v>
                </c:pt>
                <c:pt idx="17">
                  <c:v>20776</c:v>
                </c:pt>
                <c:pt idx="18" formatCode="#,##0">
                  <c:v>28939</c:v>
                </c:pt>
                <c:pt idx="19" formatCode="#,##0">
                  <c:v>38461</c:v>
                </c:pt>
                <c:pt idx="20" formatCode="#,##0">
                  <c:v>42371</c:v>
                </c:pt>
                <c:pt idx="21">
                  <c:v>42991</c:v>
                </c:pt>
              </c:numCache>
            </c:numRef>
          </c:val>
          <c:extLst>
            <c:ext xmlns:c16="http://schemas.microsoft.com/office/drawing/2014/chart" uri="{C3380CC4-5D6E-409C-BE32-E72D297353CC}">
              <c16:uniqueId val="{00000000-EC71-4F6F-BD52-2802C1D0EF9D}"/>
            </c:ext>
          </c:extLst>
        </c:ser>
        <c:dLbls>
          <c:showLegendKey val="0"/>
          <c:showVal val="0"/>
          <c:showCatName val="0"/>
          <c:showSerName val="0"/>
          <c:showPercent val="0"/>
          <c:showBubbleSize val="0"/>
        </c:dLbls>
        <c:gapWidth val="150"/>
        <c:shape val="box"/>
        <c:axId val="702533080"/>
        <c:axId val="702540296"/>
        <c:axId val="0"/>
      </c:bar3DChart>
      <c:catAx>
        <c:axId val="702533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540296"/>
        <c:crosses val="autoZero"/>
        <c:auto val="1"/>
        <c:lblAlgn val="ctr"/>
        <c:lblOffset val="100"/>
        <c:noMultiLvlLbl val="0"/>
      </c:catAx>
      <c:valAx>
        <c:axId val="702540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533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'HOUSE COMPLETIONS'!$B$2:$L$2</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'HOUSE COMPLETIONS'!$B$3:$L$3</c:f>
              <c:numCache>
                <c:formatCode>#,##0</c:formatCode>
                <c:ptCount val="11"/>
                <c:pt idx="0">
                  <c:v>6994</c:v>
                </c:pt>
                <c:pt idx="1">
                  <c:v>4911</c:v>
                </c:pt>
                <c:pt idx="2">
                  <c:v>4575</c:v>
                </c:pt>
                <c:pt idx="3">
                  <c:v>5518</c:v>
                </c:pt>
                <c:pt idx="4">
                  <c:v>7219</c:v>
                </c:pt>
                <c:pt idx="5">
                  <c:v>9876</c:v>
                </c:pt>
                <c:pt idx="6">
                  <c:v>14348</c:v>
                </c:pt>
                <c:pt idx="7">
                  <c:v>17903</c:v>
                </c:pt>
                <c:pt idx="8">
                  <c:v>21049</c:v>
                </c:pt>
                <c:pt idx="9">
                  <c:v>20526</c:v>
                </c:pt>
                <c:pt idx="10">
                  <c:v>20433</c:v>
                </c:pt>
              </c:numCache>
            </c:numRef>
          </c:val>
          <c:extLst>
            <c:ext xmlns:c16="http://schemas.microsoft.com/office/drawing/2014/chart" uri="{C3380CC4-5D6E-409C-BE32-E72D297353CC}">
              <c16:uniqueId val="{00000000-2DE9-4613-A02F-E7E7FF072467}"/>
            </c:ext>
          </c:extLst>
        </c:ser>
        <c:dLbls>
          <c:showLegendKey val="0"/>
          <c:showVal val="0"/>
          <c:showCatName val="0"/>
          <c:showSerName val="0"/>
          <c:showPercent val="0"/>
          <c:showBubbleSize val="0"/>
        </c:dLbls>
        <c:gapWidth val="150"/>
        <c:shape val="box"/>
        <c:axId val="544897840"/>
        <c:axId val="544894560"/>
        <c:axId val="0"/>
      </c:bar3DChart>
      <c:catAx>
        <c:axId val="54489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44894560"/>
        <c:crosses val="autoZero"/>
        <c:auto val="1"/>
        <c:lblAlgn val="ctr"/>
        <c:lblOffset val="100"/>
        <c:noMultiLvlLbl val="0"/>
      </c:catAx>
      <c:valAx>
        <c:axId val="544894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897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COMPLETIONS!$D$12</c:f>
              <c:strCache>
                <c:ptCount val="1"/>
                <c:pt idx="0">
                  <c:v>Apartments</c:v>
                </c:pt>
              </c:strCache>
            </c:strRef>
          </c:tx>
          <c:spPr>
            <a:solidFill>
              <a:schemeClr val="accent1"/>
            </a:solidFill>
            <a:ln>
              <a:noFill/>
            </a:ln>
            <a:effectLst/>
          </c:spPr>
          <c:invertIfNegative val="0"/>
          <c:cat>
            <c:strRef>
              <c:f>COMPLETIONS!$C$13:$C$23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COMPLETIONS!$D$13:$D$23</c:f>
              <c:numCache>
                <c:formatCode>General</c:formatCode>
                <c:ptCount val="11"/>
                <c:pt idx="0">
                  <c:v>822</c:v>
                </c:pt>
                <c:pt idx="1">
                  <c:v>446</c:v>
                </c:pt>
                <c:pt idx="2">
                  <c:v>473</c:v>
                </c:pt>
                <c:pt idx="3">
                  <c:v>748</c:v>
                </c:pt>
                <c:pt idx="4">
                  <c:v>673</c:v>
                </c:pt>
                <c:pt idx="5">
                  <c:v>1153</c:v>
                </c:pt>
                <c:pt idx="6">
                  <c:v>2200</c:v>
                </c:pt>
                <c:pt idx="7">
                  <c:v>2256</c:v>
                </c:pt>
                <c:pt idx="8">
                  <c:v>3478</c:v>
                </c:pt>
                <c:pt idx="9">
                  <c:v>3912</c:v>
                </c:pt>
                <c:pt idx="10">
                  <c:v>5108</c:v>
                </c:pt>
              </c:numCache>
            </c:numRef>
          </c:val>
          <c:extLst>
            <c:ext xmlns:c16="http://schemas.microsoft.com/office/drawing/2014/chart" uri="{C3380CC4-5D6E-409C-BE32-E72D297353CC}">
              <c16:uniqueId val="{00000000-52B7-40AB-AAF7-456E6E87C302}"/>
            </c:ext>
          </c:extLst>
        </c:ser>
        <c:ser>
          <c:idx val="1"/>
          <c:order val="1"/>
          <c:tx>
            <c:strRef>
              <c:f>COMPLETIONS!$E$12</c:f>
              <c:strCache>
                <c:ptCount val="1"/>
                <c:pt idx="0">
                  <c:v>Single Houses</c:v>
                </c:pt>
              </c:strCache>
            </c:strRef>
          </c:tx>
          <c:spPr>
            <a:solidFill>
              <a:schemeClr val="accent2"/>
            </a:solidFill>
            <a:ln>
              <a:noFill/>
            </a:ln>
            <a:effectLst/>
          </c:spPr>
          <c:invertIfNegative val="0"/>
          <c:cat>
            <c:strRef>
              <c:f>COMPLETIONS!$C$13:$C$23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COMPLETIONS!$E$13:$E$23</c:f>
              <c:numCache>
                <c:formatCode>General</c:formatCode>
                <c:ptCount val="11"/>
                <c:pt idx="0">
                  <c:v>4814</c:v>
                </c:pt>
                <c:pt idx="1">
                  <c:v>3501</c:v>
                </c:pt>
                <c:pt idx="2">
                  <c:v>2947</c:v>
                </c:pt>
                <c:pt idx="3">
                  <c:v>2975</c:v>
                </c:pt>
                <c:pt idx="4">
                  <c:v>3252</c:v>
                </c:pt>
                <c:pt idx="5">
                  <c:v>3637</c:v>
                </c:pt>
                <c:pt idx="6">
                  <c:v>4243</c:v>
                </c:pt>
                <c:pt idx="7">
                  <c:v>4675</c:v>
                </c:pt>
                <c:pt idx="8">
                  <c:v>5059</c:v>
                </c:pt>
                <c:pt idx="9">
                  <c:v>4938</c:v>
                </c:pt>
                <c:pt idx="10">
                  <c:v>4708</c:v>
                </c:pt>
              </c:numCache>
            </c:numRef>
          </c:val>
          <c:extLst>
            <c:ext xmlns:c16="http://schemas.microsoft.com/office/drawing/2014/chart" uri="{C3380CC4-5D6E-409C-BE32-E72D297353CC}">
              <c16:uniqueId val="{00000001-52B7-40AB-AAF7-456E6E87C302}"/>
            </c:ext>
          </c:extLst>
        </c:ser>
        <c:ser>
          <c:idx val="2"/>
          <c:order val="2"/>
          <c:tx>
            <c:strRef>
              <c:f>COMPLETIONS!$F$12</c:f>
              <c:strCache>
                <c:ptCount val="1"/>
                <c:pt idx="0">
                  <c:v>Scheme Houses</c:v>
                </c:pt>
              </c:strCache>
            </c:strRef>
          </c:tx>
          <c:spPr>
            <a:solidFill>
              <a:schemeClr val="accent3"/>
            </a:solidFill>
            <a:ln>
              <a:noFill/>
            </a:ln>
            <a:effectLst/>
          </c:spPr>
          <c:invertIfNegative val="0"/>
          <c:cat>
            <c:strRef>
              <c:f>COMPLETIONS!$C$13:$C$23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COMPLETIONS!$F$13:$F$23</c:f>
              <c:numCache>
                <c:formatCode>General</c:formatCode>
                <c:ptCount val="11"/>
                <c:pt idx="0">
                  <c:v>1358</c:v>
                </c:pt>
                <c:pt idx="1">
                  <c:v>964</c:v>
                </c:pt>
                <c:pt idx="2">
                  <c:v>1155</c:v>
                </c:pt>
                <c:pt idx="3">
                  <c:v>1795</c:v>
                </c:pt>
                <c:pt idx="4">
                  <c:v>3294</c:v>
                </c:pt>
                <c:pt idx="5">
                  <c:v>5052</c:v>
                </c:pt>
                <c:pt idx="6">
                  <c:v>7878</c:v>
                </c:pt>
                <c:pt idx="7">
                  <c:v>10968</c:v>
                </c:pt>
                <c:pt idx="8">
                  <c:v>12510</c:v>
                </c:pt>
                <c:pt idx="9">
                  <c:v>11664</c:v>
                </c:pt>
                <c:pt idx="10">
                  <c:v>10657</c:v>
                </c:pt>
              </c:numCache>
            </c:numRef>
          </c:val>
          <c:extLst>
            <c:ext xmlns:c16="http://schemas.microsoft.com/office/drawing/2014/chart" uri="{C3380CC4-5D6E-409C-BE32-E72D297353CC}">
              <c16:uniqueId val="{00000002-52B7-40AB-AAF7-456E6E87C302}"/>
            </c:ext>
          </c:extLst>
        </c:ser>
        <c:dLbls>
          <c:showLegendKey val="0"/>
          <c:showVal val="0"/>
          <c:showCatName val="0"/>
          <c:showSerName val="0"/>
          <c:showPercent val="0"/>
          <c:showBubbleSize val="0"/>
        </c:dLbls>
        <c:gapWidth val="219"/>
        <c:overlap val="-27"/>
        <c:axId val="648307504"/>
        <c:axId val="648309472"/>
      </c:barChart>
      <c:catAx>
        <c:axId val="64830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309472"/>
        <c:crosses val="autoZero"/>
        <c:auto val="1"/>
        <c:lblAlgn val="ctr"/>
        <c:lblOffset val="100"/>
        <c:noMultiLvlLbl val="0"/>
      </c:catAx>
      <c:valAx>
        <c:axId val="64830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30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'RTB RENTS'!$A$2:$A$59</c:f>
              <c:strCache>
                <c:ptCount val="58"/>
                <c:pt idx="0">
                  <c:v>2007Q3</c:v>
                </c:pt>
                <c:pt idx="1">
                  <c:v>2007Q4</c:v>
                </c:pt>
                <c:pt idx="2">
                  <c:v>2008Q1</c:v>
                </c:pt>
                <c:pt idx="3">
                  <c:v>2008Q2</c:v>
                </c:pt>
                <c:pt idx="4">
                  <c:v>2008Q3</c:v>
                </c:pt>
                <c:pt idx="5">
                  <c:v>2008Q4</c:v>
                </c:pt>
                <c:pt idx="6">
                  <c:v>2009Q1</c:v>
                </c:pt>
                <c:pt idx="7">
                  <c:v>2009Q2</c:v>
                </c:pt>
                <c:pt idx="8">
                  <c:v>2009Q3</c:v>
                </c:pt>
                <c:pt idx="9">
                  <c:v>2009Q4</c:v>
                </c:pt>
                <c:pt idx="10">
                  <c:v>2010Q1</c:v>
                </c:pt>
                <c:pt idx="11">
                  <c:v>2010Q2</c:v>
                </c:pt>
                <c:pt idx="12">
                  <c:v>2010Q3</c:v>
                </c:pt>
                <c:pt idx="13">
                  <c:v>2010Q4</c:v>
                </c:pt>
                <c:pt idx="14">
                  <c:v>2011Q1</c:v>
                </c:pt>
                <c:pt idx="15">
                  <c:v>2011Q2</c:v>
                </c:pt>
                <c:pt idx="16">
                  <c:v>2011Q3</c:v>
                </c:pt>
                <c:pt idx="17">
                  <c:v>2011Q4</c:v>
                </c:pt>
                <c:pt idx="18">
                  <c:v>2012Q1</c:v>
                </c:pt>
                <c:pt idx="19">
                  <c:v>2012Q2</c:v>
                </c:pt>
                <c:pt idx="20">
                  <c:v>2012Q3</c:v>
                </c:pt>
                <c:pt idx="21">
                  <c:v>2012Q4</c:v>
                </c:pt>
                <c:pt idx="22">
                  <c:v>2013Q1</c:v>
                </c:pt>
                <c:pt idx="23">
                  <c:v>2013Q2</c:v>
                </c:pt>
                <c:pt idx="24">
                  <c:v>2013Q3</c:v>
                </c:pt>
                <c:pt idx="25">
                  <c:v>2013Q4</c:v>
                </c:pt>
                <c:pt idx="26">
                  <c:v>2014Q1</c:v>
                </c:pt>
                <c:pt idx="27">
                  <c:v>2014Q2</c:v>
                </c:pt>
                <c:pt idx="28">
                  <c:v>2014Q3</c:v>
                </c:pt>
                <c:pt idx="29">
                  <c:v>2014Q4</c:v>
                </c:pt>
                <c:pt idx="30">
                  <c:v>2015Q1</c:v>
                </c:pt>
                <c:pt idx="31">
                  <c:v>2015Q2</c:v>
                </c:pt>
                <c:pt idx="32">
                  <c:v>2015Q3</c:v>
                </c:pt>
                <c:pt idx="33">
                  <c:v>2015Q4</c:v>
                </c:pt>
                <c:pt idx="34">
                  <c:v>2016Q1</c:v>
                </c:pt>
                <c:pt idx="35">
                  <c:v>2016Q2</c:v>
                </c:pt>
                <c:pt idx="36">
                  <c:v>2016Q3</c:v>
                </c:pt>
                <c:pt idx="37">
                  <c:v>2016Q4</c:v>
                </c:pt>
                <c:pt idx="38">
                  <c:v>2017Q1</c:v>
                </c:pt>
                <c:pt idx="39">
                  <c:v>2017Q2</c:v>
                </c:pt>
                <c:pt idx="40">
                  <c:v>2017Q3</c:v>
                </c:pt>
                <c:pt idx="41">
                  <c:v>2017Q4</c:v>
                </c:pt>
                <c:pt idx="42">
                  <c:v>2018Q1</c:v>
                </c:pt>
                <c:pt idx="43">
                  <c:v>2018Q2</c:v>
                </c:pt>
                <c:pt idx="44">
                  <c:v>2018Q3</c:v>
                </c:pt>
                <c:pt idx="45">
                  <c:v>2018Q4</c:v>
                </c:pt>
                <c:pt idx="46">
                  <c:v>2019Q1</c:v>
                </c:pt>
                <c:pt idx="47">
                  <c:v>2019Q2</c:v>
                </c:pt>
                <c:pt idx="48">
                  <c:v>2019Q3</c:v>
                </c:pt>
                <c:pt idx="49">
                  <c:v>2019Q4</c:v>
                </c:pt>
                <c:pt idx="50">
                  <c:v>2020Q1</c:v>
                </c:pt>
                <c:pt idx="51">
                  <c:v>2020Q2</c:v>
                </c:pt>
                <c:pt idx="52">
                  <c:v>2020Q3</c:v>
                </c:pt>
                <c:pt idx="53">
                  <c:v>2020Q4</c:v>
                </c:pt>
                <c:pt idx="54">
                  <c:v>2021Q1</c:v>
                </c:pt>
                <c:pt idx="55">
                  <c:v>2021Q2</c:v>
                </c:pt>
                <c:pt idx="56">
                  <c:v>2021Q3</c:v>
                </c:pt>
                <c:pt idx="57">
                  <c:v>2021Q4</c:v>
                </c:pt>
              </c:strCache>
            </c:strRef>
          </c:cat>
          <c:val>
            <c:numRef>
              <c:f>'RTB RENTS'!$B$2:$B$59</c:f>
              <c:numCache>
                <c:formatCode>General</c:formatCode>
                <c:ptCount val="58"/>
                <c:pt idx="0">
                  <c:v>97</c:v>
                </c:pt>
                <c:pt idx="1">
                  <c:v>100</c:v>
                </c:pt>
                <c:pt idx="2">
                  <c:v>100</c:v>
                </c:pt>
                <c:pt idx="3">
                  <c:v>100</c:v>
                </c:pt>
                <c:pt idx="4">
                  <c:v>92</c:v>
                </c:pt>
                <c:pt idx="5">
                  <c:v>93</c:v>
                </c:pt>
                <c:pt idx="6">
                  <c:v>88</c:v>
                </c:pt>
                <c:pt idx="7">
                  <c:v>84</c:v>
                </c:pt>
                <c:pt idx="8">
                  <c:v>81</c:v>
                </c:pt>
                <c:pt idx="9">
                  <c:v>79</c:v>
                </c:pt>
                <c:pt idx="10">
                  <c:v>78</c:v>
                </c:pt>
                <c:pt idx="11">
                  <c:v>77</c:v>
                </c:pt>
                <c:pt idx="12">
                  <c:v>77</c:v>
                </c:pt>
                <c:pt idx="13">
                  <c:v>77</c:v>
                </c:pt>
                <c:pt idx="14">
                  <c:v>76</c:v>
                </c:pt>
                <c:pt idx="15">
                  <c:v>76</c:v>
                </c:pt>
                <c:pt idx="16">
                  <c:v>77</c:v>
                </c:pt>
                <c:pt idx="17">
                  <c:v>77</c:v>
                </c:pt>
                <c:pt idx="18">
                  <c:v>75</c:v>
                </c:pt>
                <c:pt idx="19">
                  <c:v>76</c:v>
                </c:pt>
                <c:pt idx="20">
                  <c:v>78</c:v>
                </c:pt>
                <c:pt idx="21">
                  <c:v>77</c:v>
                </c:pt>
                <c:pt idx="22">
                  <c:v>77</c:v>
                </c:pt>
                <c:pt idx="23">
                  <c:v>78</c:v>
                </c:pt>
                <c:pt idx="24">
                  <c:v>81</c:v>
                </c:pt>
                <c:pt idx="25">
                  <c:v>80</c:v>
                </c:pt>
                <c:pt idx="26">
                  <c:v>80</c:v>
                </c:pt>
                <c:pt idx="27">
                  <c:v>83</c:v>
                </c:pt>
                <c:pt idx="28">
                  <c:v>86</c:v>
                </c:pt>
                <c:pt idx="29">
                  <c:v>86</c:v>
                </c:pt>
                <c:pt idx="30">
                  <c:v>87</c:v>
                </c:pt>
                <c:pt idx="31">
                  <c:v>90</c:v>
                </c:pt>
                <c:pt idx="32">
                  <c:v>94</c:v>
                </c:pt>
                <c:pt idx="33">
                  <c:v>95</c:v>
                </c:pt>
                <c:pt idx="34">
                  <c:v>95</c:v>
                </c:pt>
                <c:pt idx="35">
                  <c:v>98</c:v>
                </c:pt>
                <c:pt idx="36">
                  <c:v>102</c:v>
                </c:pt>
                <c:pt idx="37">
                  <c:v>103</c:v>
                </c:pt>
                <c:pt idx="38">
                  <c:v>106</c:v>
                </c:pt>
                <c:pt idx="39">
                  <c:v>110</c:v>
                </c:pt>
                <c:pt idx="40">
                  <c:v>113</c:v>
                </c:pt>
                <c:pt idx="41">
                  <c:v>113</c:v>
                </c:pt>
                <c:pt idx="42">
                  <c:v>114</c:v>
                </c:pt>
                <c:pt idx="43">
                  <c:v>119</c:v>
                </c:pt>
                <c:pt idx="44">
                  <c:v>121</c:v>
                </c:pt>
                <c:pt idx="45">
                  <c:v>121</c:v>
                </c:pt>
                <c:pt idx="46">
                  <c:v>123</c:v>
                </c:pt>
                <c:pt idx="47">
                  <c:v>126</c:v>
                </c:pt>
                <c:pt idx="48">
                  <c:v>129</c:v>
                </c:pt>
                <c:pt idx="49">
                  <c:v>126</c:v>
                </c:pt>
                <c:pt idx="50">
                  <c:v>129</c:v>
                </c:pt>
                <c:pt idx="51">
                  <c:v>128</c:v>
                </c:pt>
                <c:pt idx="52">
                  <c:v>132</c:v>
                </c:pt>
                <c:pt idx="53">
                  <c:v>131</c:v>
                </c:pt>
                <c:pt idx="54">
                  <c:v>134</c:v>
                </c:pt>
                <c:pt idx="55">
                  <c:v>137</c:v>
                </c:pt>
                <c:pt idx="56">
                  <c:v>143</c:v>
                </c:pt>
                <c:pt idx="57">
                  <c:v>143</c:v>
                </c:pt>
              </c:numCache>
            </c:numRef>
          </c:val>
          <c:smooth val="0"/>
          <c:extLst>
            <c:ext xmlns:c16="http://schemas.microsoft.com/office/drawing/2014/chart" uri="{C3380CC4-5D6E-409C-BE32-E72D297353CC}">
              <c16:uniqueId val="{00000000-8DDA-4EB5-B088-9BDFC5AFC4DA}"/>
            </c:ext>
          </c:extLst>
        </c:ser>
        <c:dLbls>
          <c:showLegendKey val="0"/>
          <c:showVal val="0"/>
          <c:showCatName val="0"/>
          <c:showSerName val="0"/>
          <c:showPercent val="0"/>
          <c:showBubbleSize val="0"/>
        </c:dLbls>
        <c:smooth val="0"/>
        <c:axId val="704502912"/>
        <c:axId val="704500944"/>
      </c:lineChart>
      <c:catAx>
        <c:axId val="70450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04500944"/>
        <c:crosses val="autoZero"/>
        <c:auto val="1"/>
        <c:lblAlgn val="ctr"/>
        <c:lblOffset val="100"/>
        <c:noMultiLvlLbl val="0"/>
      </c:catAx>
      <c:valAx>
        <c:axId val="704500944"/>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(Q4 2017=100)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502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'PRIVATE RENTS'!$B$5:$HA$5</c:f>
              <c:numCache>
                <c:formatCode>mmm\-yy</c:formatCode>
                <c:ptCount val="208"/>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pt idx="170">
                  <c:v>43525</c:v>
                </c:pt>
                <c:pt idx="171">
                  <c:v>43556</c:v>
                </c:pt>
                <c:pt idx="172">
                  <c:v>43586</c:v>
                </c:pt>
                <c:pt idx="173">
                  <c:v>43617</c:v>
                </c:pt>
                <c:pt idx="174">
                  <c:v>43647</c:v>
                </c:pt>
                <c:pt idx="175">
                  <c:v>43678</c:v>
                </c:pt>
                <c:pt idx="176">
                  <c:v>43709</c:v>
                </c:pt>
                <c:pt idx="177">
                  <c:v>43739</c:v>
                </c:pt>
                <c:pt idx="178">
                  <c:v>43770</c:v>
                </c:pt>
                <c:pt idx="179">
                  <c:v>43800</c:v>
                </c:pt>
                <c:pt idx="180">
                  <c:v>43831</c:v>
                </c:pt>
                <c:pt idx="181">
                  <c:v>43862</c:v>
                </c:pt>
                <c:pt idx="182">
                  <c:v>43891</c:v>
                </c:pt>
                <c:pt idx="183">
                  <c:v>43922</c:v>
                </c:pt>
                <c:pt idx="184">
                  <c:v>43952</c:v>
                </c:pt>
                <c:pt idx="185">
                  <c:v>43983</c:v>
                </c:pt>
                <c:pt idx="186">
                  <c:v>44013</c:v>
                </c:pt>
                <c:pt idx="187">
                  <c:v>44044</c:v>
                </c:pt>
                <c:pt idx="188">
                  <c:v>44075</c:v>
                </c:pt>
                <c:pt idx="189">
                  <c:v>44105</c:v>
                </c:pt>
                <c:pt idx="190">
                  <c:v>44136</c:v>
                </c:pt>
                <c:pt idx="191">
                  <c:v>44166</c:v>
                </c:pt>
                <c:pt idx="192">
                  <c:v>44197</c:v>
                </c:pt>
                <c:pt idx="193">
                  <c:v>44228</c:v>
                </c:pt>
                <c:pt idx="194">
                  <c:v>44256</c:v>
                </c:pt>
                <c:pt idx="195">
                  <c:v>44287</c:v>
                </c:pt>
                <c:pt idx="196">
                  <c:v>44317</c:v>
                </c:pt>
                <c:pt idx="197">
                  <c:v>44348</c:v>
                </c:pt>
                <c:pt idx="198">
                  <c:v>44378</c:v>
                </c:pt>
                <c:pt idx="199">
                  <c:v>44409</c:v>
                </c:pt>
                <c:pt idx="200">
                  <c:v>44440</c:v>
                </c:pt>
                <c:pt idx="201">
                  <c:v>44470</c:v>
                </c:pt>
                <c:pt idx="202">
                  <c:v>44501</c:v>
                </c:pt>
                <c:pt idx="203">
                  <c:v>44531</c:v>
                </c:pt>
                <c:pt idx="204">
                  <c:v>44562</c:v>
                </c:pt>
                <c:pt idx="205">
                  <c:v>44593</c:v>
                </c:pt>
                <c:pt idx="206">
                  <c:v>44621</c:v>
                </c:pt>
                <c:pt idx="207">
                  <c:v>44652</c:v>
                </c:pt>
              </c:numCache>
            </c:numRef>
          </c:cat>
          <c:val>
            <c:numRef>
              <c:f>'PRIVATE RENTS'!$B$6:$HA$6</c:f>
              <c:numCache>
                <c:formatCode>0.0</c:formatCode>
                <c:ptCount val="208"/>
                <c:pt idx="0">
                  <c:v>100</c:v>
                </c:pt>
                <c:pt idx="1">
                  <c:v>100.84626234132581</c:v>
                </c:pt>
                <c:pt idx="2">
                  <c:v>100.84626234132581</c:v>
                </c:pt>
                <c:pt idx="3">
                  <c:v>100.84626234132581</c:v>
                </c:pt>
                <c:pt idx="4">
                  <c:v>101.55148095909732</c:v>
                </c:pt>
                <c:pt idx="5">
                  <c:v>101.55148095909732</c:v>
                </c:pt>
                <c:pt idx="6">
                  <c:v>101.55148095909732</c:v>
                </c:pt>
                <c:pt idx="7">
                  <c:v>102.53878702397743</c:v>
                </c:pt>
                <c:pt idx="8">
                  <c:v>102.53878702397743</c:v>
                </c:pt>
                <c:pt idx="9">
                  <c:v>102.53878702397743</c:v>
                </c:pt>
                <c:pt idx="10">
                  <c:v>104.37235543018335</c:v>
                </c:pt>
                <c:pt idx="11">
                  <c:v>104.37235543018335</c:v>
                </c:pt>
                <c:pt idx="12">
                  <c:v>104.37235543018335</c:v>
                </c:pt>
                <c:pt idx="13">
                  <c:v>104.79548660084626</c:v>
                </c:pt>
                <c:pt idx="14">
                  <c:v>104.79548660084626</c:v>
                </c:pt>
                <c:pt idx="15">
                  <c:v>104.79548660084626</c:v>
                </c:pt>
                <c:pt idx="16">
                  <c:v>106.20592383638927</c:v>
                </c:pt>
                <c:pt idx="17">
                  <c:v>106.20592383638927</c:v>
                </c:pt>
                <c:pt idx="18">
                  <c:v>106.20592383638927</c:v>
                </c:pt>
                <c:pt idx="19">
                  <c:v>108.885754583921</c:v>
                </c:pt>
                <c:pt idx="20">
                  <c:v>108.885754583921</c:v>
                </c:pt>
                <c:pt idx="21">
                  <c:v>108.885754583921</c:v>
                </c:pt>
                <c:pt idx="22">
                  <c:v>112.27080394922424</c:v>
                </c:pt>
                <c:pt idx="23">
                  <c:v>112.27080394922424</c:v>
                </c:pt>
                <c:pt idx="24">
                  <c:v>112.27080394922424</c:v>
                </c:pt>
                <c:pt idx="25">
                  <c:v>115.6558533145275</c:v>
                </c:pt>
                <c:pt idx="26">
                  <c:v>115.6558533145275</c:v>
                </c:pt>
                <c:pt idx="27">
                  <c:v>115.6558533145275</c:v>
                </c:pt>
                <c:pt idx="28">
                  <c:v>118.47672778561353</c:v>
                </c:pt>
                <c:pt idx="29">
                  <c:v>118.47672778561353</c:v>
                </c:pt>
                <c:pt idx="30">
                  <c:v>118.47672778561353</c:v>
                </c:pt>
                <c:pt idx="31">
                  <c:v>122.14386459802537</c:v>
                </c:pt>
                <c:pt idx="32">
                  <c:v>122.14386459802537</c:v>
                </c:pt>
                <c:pt idx="33">
                  <c:v>122.14386459802537</c:v>
                </c:pt>
                <c:pt idx="34">
                  <c:v>124.82369534555711</c:v>
                </c:pt>
                <c:pt idx="35">
                  <c:v>124.82369534555711</c:v>
                </c:pt>
                <c:pt idx="36">
                  <c:v>124.82369534555711</c:v>
                </c:pt>
                <c:pt idx="37">
                  <c:v>126.23413258110013</c:v>
                </c:pt>
                <c:pt idx="38">
                  <c:v>126.23413258110013</c:v>
                </c:pt>
                <c:pt idx="39">
                  <c:v>126.23413258110013</c:v>
                </c:pt>
                <c:pt idx="40">
                  <c:v>125.52891396332862</c:v>
                </c:pt>
                <c:pt idx="41">
                  <c:v>125.52891396332862</c:v>
                </c:pt>
                <c:pt idx="42">
                  <c:v>125.52891396332862</c:v>
                </c:pt>
                <c:pt idx="43">
                  <c:v>121.29760225669956</c:v>
                </c:pt>
                <c:pt idx="44">
                  <c:v>121.29760225669956</c:v>
                </c:pt>
                <c:pt idx="45">
                  <c:v>121.29760225669956</c:v>
                </c:pt>
                <c:pt idx="46">
                  <c:v>112.55289139633284</c:v>
                </c:pt>
                <c:pt idx="47">
                  <c:v>112.55289139633284</c:v>
                </c:pt>
                <c:pt idx="48">
                  <c:v>112.55289139633284</c:v>
                </c:pt>
                <c:pt idx="49">
                  <c:v>104.93653032440055</c:v>
                </c:pt>
                <c:pt idx="50">
                  <c:v>104.93653032440055</c:v>
                </c:pt>
                <c:pt idx="51">
                  <c:v>104.93653032440055</c:v>
                </c:pt>
                <c:pt idx="52">
                  <c:v>100.56417489421719</c:v>
                </c:pt>
                <c:pt idx="53">
                  <c:v>100.56417489421719</c:v>
                </c:pt>
                <c:pt idx="54">
                  <c:v>100.56417489421719</c:v>
                </c:pt>
                <c:pt idx="55">
                  <c:v>97.74330042313116</c:v>
                </c:pt>
                <c:pt idx="56">
                  <c:v>97.74330042313116</c:v>
                </c:pt>
                <c:pt idx="57">
                  <c:v>97.74330042313116</c:v>
                </c:pt>
                <c:pt idx="58">
                  <c:v>95.34555712270803</c:v>
                </c:pt>
                <c:pt idx="59">
                  <c:v>95.34555712270803</c:v>
                </c:pt>
                <c:pt idx="60">
                  <c:v>95.34555712270803</c:v>
                </c:pt>
                <c:pt idx="61">
                  <c:v>94.640338504936523</c:v>
                </c:pt>
                <c:pt idx="62">
                  <c:v>94.640338504936523</c:v>
                </c:pt>
                <c:pt idx="63">
                  <c:v>94.640338504936523</c:v>
                </c:pt>
                <c:pt idx="64">
                  <c:v>95.909732016925247</c:v>
                </c:pt>
                <c:pt idx="65">
                  <c:v>95.909732016925247</c:v>
                </c:pt>
                <c:pt idx="66">
                  <c:v>95.909732016925247</c:v>
                </c:pt>
                <c:pt idx="67">
                  <c:v>95.20451339915374</c:v>
                </c:pt>
                <c:pt idx="68">
                  <c:v>95.20451339915374</c:v>
                </c:pt>
                <c:pt idx="69">
                  <c:v>95.20451339915374</c:v>
                </c:pt>
                <c:pt idx="70">
                  <c:v>94.07616361071932</c:v>
                </c:pt>
                <c:pt idx="71">
                  <c:v>93.794076163610711</c:v>
                </c:pt>
                <c:pt idx="72">
                  <c:v>94.07616361071932</c:v>
                </c:pt>
                <c:pt idx="73">
                  <c:v>95.20451339915374</c:v>
                </c:pt>
                <c:pt idx="74">
                  <c:v>94.640338504936523</c:v>
                </c:pt>
                <c:pt idx="75">
                  <c:v>95.20451339915374</c:v>
                </c:pt>
                <c:pt idx="76">
                  <c:v>95.34555712270803</c:v>
                </c:pt>
                <c:pt idx="77">
                  <c:v>95.063469675599436</c:v>
                </c:pt>
                <c:pt idx="78">
                  <c:v>95.34555712270803</c:v>
                </c:pt>
                <c:pt idx="79">
                  <c:v>95.486600846262334</c:v>
                </c:pt>
                <c:pt idx="80">
                  <c:v>96.050775740479537</c:v>
                </c:pt>
                <c:pt idx="81">
                  <c:v>97.320169252468261</c:v>
                </c:pt>
                <c:pt idx="82">
                  <c:v>97.602256699576856</c:v>
                </c:pt>
                <c:pt idx="83">
                  <c:v>96.755994358251044</c:v>
                </c:pt>
                <c:pt idx="84">
                  <c:v>96.897038081805348</c:v>
                </c:pt>
                <c:pt idx="85">
                  <c:v>98.307475317348363</c:v>
                </c:pt>
                <c:pt idx="86">
                  <c:v>98.448519040902667</c:v>
                </c:pt>
                <c:pt idx="87">
                  <c:v>97.602256699576856</c:v>
                </c:pt>
                <c:pt idx="88">
                  <c:v>97.461212976022551</c:v>
                </c:pt>
                <c:pt idx="89">
                  <c:v>97.038081805359653</c:v>
                </c:pt>
                <c:pt idx="90">
                  <c:v>97.320169252468261</c:v>
                </c:pt>
                <c:pt idx="91">
                  <c:v>97.320169252468261</c:v>
                </c:pt>
                <c:pt idx="92">
                  <c:v>98.166431593794059</c:v>
                </c:pt>
                <c:pt idx="93">
                  <c:v>98.871650211565566</c:v>
                </c:pt>
                <c:pt idx="94">
                  <c:v>99.435825105782783</c:v>
                </c:pt>
                <c:pt idx="95">
                  <c:v>100</c:v>
                </c:pt>
                <c:pt idx="96">
                  <c:v>100.1410437235543</c:v>
                </c:pt>
                <c:pt idx="97">
                  <c:v>100.28208744710858</c:v>
                </c:pt>
                <c:pt idx="98">
                  <c:v>101.26939351198871</c:v>
                </c:pt>
                <c:pt idx="99">
                  <c:v>102.3977433004231</c:v>
                </c:pt>
                <c:pt idx="100">
                  <c:v>102.82087447108603</c:v>
                </c:pt>
                <c:pt idx="101">
                  <c:v>103.66713681241184</c:v>
                </c:pt>
                <c:pt idx="102">
                  <c:v>104.23131170662904</c:v>
                </c:pt>
                <c:pt idx="103">
                  <c:v>104.65444287729196</c:v>
                </c:pt>
                <c:pt idx="104">
                  <c:v>105.50070521861777</c:v>
                </c:pt>
                <c:pt idx="105">
                  <c:v>106.34696755994358</c:v>
                </c:pt>
                <c:pt idx="106">
                  <c:v>107.47531734837798</c:v>
                </c:pt>
                <c:pt idx="107">
                  <c:v>108.6036671368124</c:v>
                </c:pt>
                <c:pt idx="108">
                  <c:v>109.30888575458391</c:v>
                </c:pt>
                <c:pt idx="109">
                  <c:v>110.57827926657265</c:v>
                </c:pt>
                <c:pt idx="110">
                  <c:v>111.42454160789843</c:v>
                </c:pt>
                <c:pt idx="111">
                  <c:v>111.70662905500706</c:v>
                </c:pt>
                <c:pt idx="112">
                  <c:v>112.12976022566994</c:v>
                </c:pt>
                <c:pt idx="113">
                  <c:v>112.69393511988717</c:v>
                </c:pt>
                <c:pt idx="114">
                  <c:v>112.83497884344145</c:v>
                </c:pt>
                <c:pt idx="115">
                  <c:v>113.68124118476726</c:v>
                </c:pt>
                <c:pt idx="116">
                  <c:v>115.23272214386459</c:v>
                </c:pt>
                <c:pt idx="117">
                  <c:v>115.79689703808178</c:v>
                </c:pt>
                <c:pt idx="118">
                  <c:v>116.50211565585329</c:v>
                </c:pt>
                <c:pt idx="119">
                  <c:v>117.34837799717911</c:v>
                </c:pt>
                <c:pt idx="120">
                  <c:v>118.89985895627643</c:v>
                </c:pt>
                <c:pt idx="121">
                  <c:v>120.02820874471085</c:v>
                </c:pt>
                <c:pt idx="122">
                  <c:v>120.87447108603666</c:v>
                </c:pt>
                <c:pt idx="123">
                  <c:v>121.43864598025387</c:v>
                </c:pt>
                <c:pt idx="124">
                  <c:v>122.14386459802537</c:v>
                </c:pt>
                <c:pt idx="125">
                  <c:v>123.13117066290549</c:v>
                </c:pt>
                <c:pt idx="126">
                  <c:v>124.4005641748942</c:v>
                </c:pt>
                <c:pt idx="127">
                  <c:v>125.66995768688291</c:v>
                </c:pt>
                <c:pt idx="128">
                  <c:v>127.08039492242594</c:v>
                </c:pt>
                <c:pt idx="129">
                  <c:v>127.78561354019745</c:v>
                </c:pt>
                <c:pt idx="130">
                  <c:v>128.20874471086037</c:v>
                </c:pt>
                <c:pt idx="131">
                  <c:v>128.63187588152329</c:v>
                </c:pt>
                <c:pt idx="132">
                  <c:v>130.18335684062058</c:v>
                </c:pt>
                <c:pt idx="133">
                  <c:v>131.59379407616362</c:v>
                </c:pt>
                <c:pt idx="134">
                  <c:v>131.8758815232722</c:v>
                </c:pt>
                <c:pt idx="135">
                  <c:v>133.28631875881521</c:v>
                </c:pt>
                <c:pt idx="136">
                  <c:v>133.85049365303243</c:v>
                </c:pt>
                <c:pt idx="137">
                  <c:v>134.55571227080395</c:v>
                </c:pt>
                <c:pt idx="138">
                  <c:v>135.82510578279266</c:v>
                </c:pt>
                <c:pt idx="139">
                  <c:v>136.81241184767276</c:v>
                </c:pt>
                <c:pt idx="140">
                  <c:v>139.35119887165018</c:v>
                </c:pt>
                <c:pt idx="141">
                  <c:v>140.62059238363892</c:v>
                </c:pt>
                <c:pt idx="142">
                  <c:v>140.62059238363892</c:v>
                </c:pt>
                <c:pt idx="143">
                  <c:v>141.04372355430181</c:v>
                </c:pt>
                <c:pt idx="144">
                  <c:v>141.04372355430181</c:v>
                </c:pt>
                <c:pt idx="145">
                  <c:v>142.73624823695346</c:v>
                </c:pt>
                <c:pt idx="146">
                  <c:v>143.15937940761637</c:v>
                </c:pt>
                <c:pt idx="147">
                  <c:v>143.86459802538786</c:v>
                </c:pt>
                <c:pt idx="148">
                  <c:v>144.00564174894214</c:v>
                </c:pt>
                <c:pt idx="149">
                  <c:v>145.13399153737657</c:v>
                </c:pt>
                <c:pt idx="150">
                  <c:v>145.69816643159376</c:v>
                </c:pt>
                <c:pt idx="151">
                  <c:v>146.82651622002817</c:v>
                </c:pt>
                <c:pt idx="152">
                  <c:v>147.81382228490833</c:v>
                </c:pt>
                <c:pt idx="153">
                  <c:v>148.51904090267982</c:v>
                </c:pt>
                <c:pt idx="154">
                  <c:v>148.51904090267982</c:v>
                </c:pt>
                <c:pt idx="155">
                  <c:v>149.64739069111423</c:v>
                </c:pt>
                <c:pt idx="156">
                  <c:v>149.92947813822283</c:v>
                </c:pt>
                <c:pt idx="157">
                  <c:v>151.62200282087446</c:v>
                </c:pt>
                <c:pt idx="158">
                  <c:v>152.32722143864598</c:v>
                </c:pt>
                <c:pt idx="159">
                  <c:v>153.17348377997178</c:v>
                </c:pt>
                <c:pt idx="160">
                  <c:v>154.01974612129757</c:v>
                </c:pt>
                <c:pt idx="161">
                  <c:v>154.01974612129757</c:v>
                </c:pt>
                <c:pt idx="162">
                  <c:v>154.44287729196049</c:v>
                </c:pt>
                <c:pt idx="163">
                  <c:v>155.9943582510578</c:v>
                </c:pt>
                <c:pt idx="164">
                  <c:v>156.84062059238363</c:v>
                </c:pt>
                <c:pt idx="165">
                  <c:v>158.11001410437234</c:v>
                </c:pt>
                <c:pt idx="166">
                  <c:v>158.95627644569817</c:v>
                </c:pt>
                <c:pt idx="167">
                  <c:v>159.23836389280677</c:v>
                </c:pt>
                <c:pt idx="168">
                  <c:v>159.80253878702396</c:v>
                </c:pt>
                <c:pt idx="169">
                  <c:v>160.22566995768685</c:v>
                </c:pt>
                <c:pt idx="170">
                  <c:v>160.78984485190409</c:v>
                </c:pt>
                <c:pt idx="171">
                  <c:v>161.49506346967559</c:v>
                </c:pt>
                <c:pt idx="172">
                  <c:v>162.0592383638928</c:v>
                </c:pt>
                <c:pt idx="173">
                  <c:v>162.48236953455572</c:v>
                </c:pt>
                <c:pt idx="174">
                  <c:v>163.04654442877288</c:v>
                </c:pt>
                <c:pt idx="175">
                  <c:v>164.03385049365303</c:v>
                </c:pt>
                <c:pt idx="176">
                  <c:v>165.86741889985893</c:v>
                </c:pt>
                <c:pt idx="177">
                  <c:v>166.14950634696754</c:v>
                </c:pt>
                <c:pt idx="178">
                  <c:v>165.86741889985893</c:v>
                </c:pt>
                <c:pt idx="179">
                  <c:v>166.14950634696754</c:v>
                </c:pt>
                <c:pt idx="180">
                  <c:v>166.00846262341324</c:v>
                </c:pt>
                <c:pt idx="181">
                  <c:v>166.43159379407615</c:v>
                </c:pt>
                <c:pt idx="182">
                  <c:v>165.72637517630463</c:v>
                </c:pt>
                <c:pt idx="183">
                  <c:v>162.7644569816643</c:v>
                </c:pt>
                <c:pt idx="184">
                  <c:v>160.93088857545837</c:v>
                </c:pt>
                <c:pt idx="185">
                  <c:v>160.50775740479546</c:v>
                </c:pt>
                <c:pt idx="186">
                  <c:v>160.78984485190409</c:v>
                </c:pt>
                <c:pt idx="187">
                  <c:v>161.0719322990127</c:v>
                </c:pt>
                <c:pt idx="188">
                  <c:v>161.63610719322986</c:v>
                </c:pt>
                <c:pt idx="189">
                  <c:v>160.78984485190409</c:v>
                </c:pt>
                <c:pt idx="190">
                  <c:v>160.78984485190409</c:v>
                </c:pt>
                <c:pt idx="191">
                  <c:v>161.35401974612128</c:v>
                </c:pt>
                <c:pt idx="192">
                  <c:v>161.9181946403385</c:v>
                </c:pt>
                <c:pt idx="193">
                  <c:v>162.20028208744711</c:v>
                </c:pt>
                <c:pt idx="194">
                  <c:v>163.46967559943582</c:v>
                </c:pt>
                <c:pt idx="195">
                  <c:v>165.44428772919605</c:v>
                </c:pt>
                <c:pt idx="196">
                  <c:v>165.16220028208744</c:v>
                </c:pt>
                <c:pt idx="197">
                  <c:v>165.30324400564174</c:v>
                </c:pt>
                <c:pt idx="198">
                  <c:v>165.72637517630463</c:v>
                </c:pt>
                <c:pt idx="199">
                  <c:v>168.26516220028208</c:v>
                </c:pt>
                <c:pt idx="200">
                  <c:v>171.22708039492244</c:v>
                </c:pt>
                <c:pt idx="201">
                  <c:v>172.77856135401973</c:v>
                </c:pt>
                <c:pt idx="202">
                  <c:v>173.76586741889986</c:v>
                </c:pt>
                <c:pt idx="203">
                  <c:v>174.89421720733426</c:v>
                </c:pt>
                <c:pt idx="204">
                  <c:v>175.59943582510579</c:v>
                </c:pt>
                <c:pt idx="205">
                  <c:v>177.15091678420308</c:v>
                </c:pt>
                <c:pt idx="206">
                  <c:v>178.56135401974609</c:v>
                </c:pt>
                <c:pt idx="207">
                  <c:v>180.8180535966149</c:v>
                </c:pt>
              </c:numCache>
            </c:numRef>
          </c:val>
          <c:smooth val="0"/>
          <c:extLst>
            <c:ext xmlns:c16="http://schemas.microsoft.com/office/drawing/2014/chart" uri="{C3380CC4-5D6E-409C-BE32-E72D297353CC}">
              <c16:uniqueId val="{00000000-733B-4AE1-A249-C988B59CE743}"/>
            </c:ext>
          </c:extLst>
        </c:ser>
        <c:dLbls>
          <c:showLegendKey val="0"/>
          <c:showVal val="0"/>
          <c:showCatName val="0"/>
          <c:showSerName val="0"/>
          <c:showPercent val="0"/>
          <c:showBubbleSize val="0"/>
        </c:dLbls>
        <c:smooth val="0"/>
        <c:axId val="655152880"/>
        <c:axId val="655153536"/>
      </c:lineChart>
      <c:dateAx>
        <c:axId val="6551528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153536"/>
        <c:crosses val="autoZero"/>
        <c:auto val="1"/>
        <c:lblOffset val="100"/>
        <c:baseTimeUnit val="months"/>
      </c:dateAx>
      <c:valAx>
        <c:axId val="655153536"/>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(Jan 05=100)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15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'NO PRIVATE TENANCIES'!$A$3:$A$15</c:f>
              <c:strCache>
                <c:ptCount val="13"/>
                <c:pt idx="0">
                  <c:v>Q4 2017</c:v>
                </c:pt>
                <c:pt idx="1">
                  <c:v>Q1 2018</c:v>
                </c:pt>
                <c:pt idx="2">
                  <c:v>Q2 2018</c:v>
                </c:pt>
                <c:pt idx="3">
                  <c:v>Q3 2018</c:v>
                </c:pt>
                <c:pt idx="4">
                  <c:v>Q4 2018</c:v>
                </c:pt>
                <c:pt idx="5">
                  <c:v>Q1 2019</c:v>
                </c:pt>
                <c:pt idx="6">
                  <c:v>Q2 2019</c:v>
                </c:pt>
                <c:pt idx="7">
                  <c:v>Q3 2019</c:v>
                </c:pt>
                <c:pt idx="8">
                  <c:v>Q4 2019</c:v>
                </c:pt>
                <c:pt idx="9">
                  <c:v>Q1 2020</c:v>
                </c:pt>
                <c:pt idx="10">
                  <c:v>Q2  2020</c:v>
                </c:pt>
                <c:pt idx="11">
                  <c:v>Q3 2020</c:v>
                </c:pt>
                <c:pt idx="12">
                  <c:v>Q4 2020</c:v>
                </c:pt>
              </c:strCache>
            </c:strRef>
          </c:cat>
          <c:val>
            <c:numRef>
              <c:f>'NO PRIVATE TENANCIES'!$B$3:$B$15</c:f>
              <c:numCache>
                <c:formatCode>#,##0</c:formatCode>
                <c:ptCount val="13"/>
                <c:pt idx="0">
                  <c:v>313002</c:v>
                </c:pt>
                <c:pt idx="1">
                  <c:v>311997</c:v>
                </c:pt>
                <c:pt idx="2">
                  <c:v>311990</c:v>
                </c:pt>
                <c:pt idx="3">
                  <c:v>310780</c:v>
                </c:pt>
                <c:pt idx="4">
                  <c:v>307348</c:v>
                </c:pt>
                <c:pt idx="5">
                  <c:v>310334</c:v>
                </c:pt>
                <c:pt idx="6">
                  <c:v>310788</c:v>
                </c:pt>
                <c:pt idx="7">
                  <c:v>305090</c:v>
                </c:pt>
                <c:pt idx="8">
                  <c:v>303023</c:v>
                </c:pt>
                <c:pt idx="9">
                  <c:v>302639</c:v>
                </c:pt>
                <c:pt idx="10">
                  <c:v>299726</c:v>
                </c:pt>
                <c:pt idx="11">
                  <c:v>297683</c:v>
                </c:pt>
                <c:pt idx="12">
                  <c:v>297837</c:v>
                </c:pt>
              </c:numCache>
            </c:numRef>
          </c:val>
          <c:smooth val="0"/>
          <c:extLst>
            <c:ext xmlns:c16="http://schemas.microsoft.com/office/drawing/2014/chart" uri="{C3380CC4-5D6E-409C-BE32-E72D297353CC}">
              <c16:uniqueId val="{00000000-455B-4B08-A7FF-8F5D33F53E78}"/>
            </c:ext>
          </c:extLst>
        </c:ser>
        <c:dLbls>
          <c:showLegendKey val="0"/>
          <c:showVal val="0"/>
          <c:showCatName val="0"/>
          <c:showSerName val="0"/>
          <c:showPercent val="0"/>
          <c:showBubbleSize val="0"/>
        </c:dLbls>
        <c:smooth val="0"/>
        <c:axId val="695726536"/>
        <c:axId val="695726864"/>
      </c:lineChart>
      <c:catAx>
        <c:axId val="69572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95726864"/>
        <c:crosses val="autoZero"/>
        <c:auto val="1"/>
        <c:lblAlgn val="ctr"/>
        <c:lblOffset val="100"/>
        <c:noMultiLvlLbl val="0"/>
      </c:catAx>
      <c:valAx>
        <c:axId val="695726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726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927EF592681E49BC0FE3F70182D79D" ma:contentTypeVersion="15" ma:contentTypeDescription="Create a new document." ma:contentTypeScope="" ma:versionID="e4a4f69ba67c14e431c3133a1d3ba790">
  <xsd:schema xmlns:xsd="http://www.w3.org/2001/XMLSchema" xmlns:xs="http://www.w3.org/2001/XMLSchema" xmlns:p="http://schemas.microsoft.com/office/2006/metadata/properties" xmlns:ns2="9716af0a-fcdd-4bed-af0c-ab2c27fdcff1" xmlns:ns3="d35bc8db-04e5-4a37-91bb-dda369c6a217" targetNamespace="http://schemas.microsoft.com/office/2006/metadata/properties" ma:root="true" ma:fieldsID="a366566edafc2f8f231cab520e1466fa" ns2:_="" ns3:_="">
    <xsd:import namespace="9716af0a-fcdd-4bed-af0c-ab2c27fdcff1"/>
    <xsd:import namespace="d35bc8db-04e5-4a37-91bb-dda369c6a2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6af0a-fcdd-4bed-af0c-ab2c27fdc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49a30d-4f44-48d1-9965-1018bd97270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bc8db-04e5-4a37-91bb-dda369c6a2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694aeb-af18-42af-b0b0-0d6b7b21e18a}" ma:internalName="TaxCatchAll" ma:showField="CatchAllData" ma:web="d35bc8db-04e5-4a37-91bb-dda369c6a2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5bc8db-04e5-4a37-91bb-dda369c6a217" xsi:nil="true"/>
    <lcf76f155ced4ddcb4097134ff3c332f xmlns="9716af0a-fcdd-4bed-af0c-ab2c27fdcf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7A550A-BA53-4319-A42B-A98A3078B466}">
  <ds:schemaRefs>
    <ds:schemaRef ds:uri="http://schemas.openxmlformats.org/officeDocument/2006/bibliography"/>
  </ds:schemaRefs>
</ds:datastoreItem>
</file>

<file path=customXml/itemProps2.xml><?xml version="1.0" encoding="utf-8"?>
<ds:datastoreItem xmlns:ds="http://schemas.openxmlformats.org/officeDocument/2006/customXml" ds:itemID="{E2C3F22E-BA42-479A-AF79-F22DBA887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6af0a-fcdd-4bed-af0c-ab2c27fdcff1"/>
    <ds:schemaRef ds:uri="d35bc8db-04e5-4a37-91bb-dda369c6a2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06F28B-5CB1-4C6E-8B06-938D7D2E6A49}">
  <ds:schemaRefs>
    <ds:schemaRef ds:uri="http://schemas.microsoft.com/sharepoint/v3/contenttype/forms"/>
  </ds:schemaRefs>
</ds:datastoreItem>
</file>

<file path=customXml/itemProps4.xml><?xml version="1.0" encoding="utf-8"?>
<ds:datastoreItem xmlns:ds="http://schemas.openxmlformats.org/officeDocument/2006/customXml" ds:itemID="{12B18042-2965-4CE0-A69C-D92C915D7B34}">
  <ds:schemaRefs>
    <ds:schemaRef ds:uri="http://purl.org/dc/elements/1.1/"/>
    <ds:schemaRef ds:uri="9716af0a-fcdd-4bed-af0c-ab2c27fdcff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d35bc8db-04e5-4a37-91bb-dda369c6a21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7992</Words>
  <Characters>45556</Characters>
  <Application>Microsoft Office Word</Application>
  <DocSecurity>4</DocSecurity>
  <Lines>379</Lines>
  <Paragraphs>106</Paragraphs>
  <ScaleCrop>false</ScaleCrop>
  <HeadingPairs>
    <vt:vector size="2" baseType="variant">
      <vt:variant>
        <vt:lpstr>Title</vt:lpstr>
      </vt:variant>
      <vt:variant>
        <vt:i4>1</vt:i4>
      </vt:variant>
    </vt:vector>
  </HeadingPairs>
  <TitlesOfParts>
    <vt:vector size="1" baseType="lpstr">
      <vt:lpstr>THE IRISH PRIVATE RENTAL MARKET</vt:lpstr>
    </vt:vector>
  </TitlesOfParts>
  <Company/>
  <LinksUpToDate>false</LinksUpToDate>
  <CharactersWithSpaces>53442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IRISH PRIVATE RENTAL MARKET</dc:title>
  <dc:subject/>
  <dc:creator>REPORT PREPARED FOR IPAV &amp; IPOA, MAY 2022</dc:creator>
  <cp:keywords/>
  <dc:description/>
  <cp:lastModifiedBy>Norbert Rebow</cp:lastModifiedBy>
  <cp:revision>2</cp:revision>
  <cp:lastPrinted>2022-05-11T15:45:00Z</cp:lastPrinted>
  <dcterms:created xsi:type="dcterms:W3CDTF">2022-05-16T08:10:00Z</dcterms:created>
  <dcterms:modified xsi:type="dcterms:W3CDTF">2022-05-16T08:10:00Z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0x010100AE927EF592681E49BC0FE3F70182D79D</vt:lpwstr>
  </property>
  <property fmtid="{D5CDD505-2E9C-101B-9397-08002B2CF9AE}" pid="3" name="MediaServiceImageTags">
    <vt:lpwstr/>
  </property>
</Properties>
</file>